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3C" w:rsidRPr="001C495D" w:rsidRDefault="003B4B3C" w:rsidP="003B4B3C">
      <w:pPr>
        <w:pStyle w:val="Web"/>
        <w:spacing w:before="0" w:beforeAutospacing="0" w:after="0" w:afterAutospacing="0" w:line="380" w:lineRule="exact"/>
        <w:ind w:leftChars="75" w:left="795" w:hangingChars="192" w:hanging="615"/>
        <w:jc w:val="center"/>
        <w:rPr>
          <w:rFonts w:ascii="標楷體" w:eastAsia="標楷體" w:hAnsi="標楷體"/>
          <w:b/>
          <w:color w:val="auto"/>
          <w:kern w:val="2"/>
          <w:sz w:val="32"/>
          <w:szCs w:val="32"/>
        </w:rPr>
      </w:pPr>
      <w:r>
        <w:rPr>
          <w:rFonts w:ascii="標楷體" w:eastAsia="標楷體" w:hAnsi="標楷體" w:hint="eastAsia"/>
          <w:b/>
          <w:color w:val="auto"/>
          <w:sz w:val="32"/>
          <w:szCs w:val="32"/>
        </w:rPr>
        <w:t>國立政治大學</w:t>
      </w:r>
      <w:r w:rsidRPr="001C495D">
        <w:rPr>
          <w:rFonts w:ascii="標楷體" w:eastAsia="標楷體" w:hAnsi="標楷體" w:hint="eastAsia"/>
          <w:b/>
          <w:color w:val="auto"/>
          <w:sz w:val="32"/>
          <w:szCs w:val="32"/>
        </w:rPr>
        <w:t>內部控制</w:t>
      </w:r>
      <w:r w:rsidRPr="001C495D">
        <w:rPr>
          <w:rFonts w:ascii="標楷體" w:eastAsia="標楷體" w:hAnsi="標楷體" w:hint="eastAsia"/>
          <w:b/>
          <w:color w:val="auto"/>
          <w:kern w:val="2"/>
          <w:sz w:val="32"/>
          <w:szCs w:val="32"/>
        </w:rPr>
        <w:t>自行評估表</w:t>
      </w:r>
    </w:p>
    <w:p w:rsidR="003B4B3C" w:rsidRPr="001C495D" w:rsidRDefault="002920D8" w:rsidP="003B4B3C">
      <w:pPr>
        <w:pStyle w:val="Web"/>
        <w:spacing w:before="0" w:beforeAutospacing="0" w:after="0" w:afterAutospacing="0" w:line="380" w:lineRule="exact"/>
        <w:ind w:leftChars="75" w:left="795" w:hangingChars="192" w:hanging="615"/>
        <w:jc w:val="center"/>
        <w:rPr>
          <w:rFonts w:ascii="標楷體" w:eastAsia="標楷體" w:hAnsi="標楷體" w:cs="Times New Roman"/>
          <w:b/>
          <w:color w:val="auto"/>
          <w:kern w:val="2"/>
          <w:sz w:val="32"/>
          <w:szCs w:val="32"/>
        </w:rPr>
      </w:pPr>
      <w:r>
        <w:rPr>
          <w:rFonts w:ascii="標楷體" w:eastAsia="標楷體" w:hAnsi="標楷體" w:hint="eastAsia"/>
          <w:b/>
          <w:color w:val="auto"/>
          <w:kern w:val="2"/>
          <w:sz w:val="32"/>
          <w:szCs w:val="32"/>
        </w:rPr>
        <w:t>109學</w:t>
      </w:r>
      <w:r w:rsidR="003B4B3C" w:rsidRPr="001C495D">
        <w:rPr>
          <w:rFonts w:ascii="標楷體" w:eastAsia="標楷體" w:hAnsi="標楷體" w:hint="eastAsia"/>
          <w:b/>
          <w:color w:val="auto"/>
          <w:kern w:val="2"/>
          <w:sz w:val="32"/>
          <w:szCs w:val="32"/>
        </w:rPr>
        <w:t>年度</w:t>
      </w:r>
      <w:bookmarkStart w:id="0" w:name="_GoBack"/>
      <w:bookmarkEnd w:id="0"/>
    </w:p>
    <w:p w:rsidR="003B4B3C" w:rsidRPr="001C495D" w:rsidRDefault="003B4B3C" w:rsidP="003B4B3C">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color w:val="auto"/>
          <w:kern w:val="2"/>
          <w:sz w:val="26"/>
          <w:szCs w:val="26"/>
        </w:rPr>
        <w:t>評估單位：</w:t>
      </w:r>
      <w:r w:rsidRPr="001C495D">
        <w:rPr>
          <w:rFonts w:ascii="標楷體" w:eastAsia="標楷體" w:hAnsi="標楷體" w:hint="eastAsia"/>
          <w:bCs/>
          <w:color w:val="auto"/>
          <w:sz w:val="26"/>
          <w:szCs w:val="26"/>
        </w:rPr>
        <w:t>○○</w:t>
      </w:r>
    </w:p>
    <w:p w:rsidR="003B4B3C" w:rsidRPr="001C495D" w:rsidRDefault="003B4B3C" w:rsidP="003B4B3C">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bCs/>
          <w:color w:val="auto"/>
          <w:sz w:val="26"/>
          <w:szCs w:val="26"/>
        </w:rPr>
        <w:t>評估期間：</w:t>
      </w:r>
      <w:r w:rsidR="00DB21F8">
        <w:rPr>
          <w:rFonts w:ascii="標楷體" w:eastAsia="標楷體" w:hAnsi="標楷體" w:hint="eastAsia"/>
          <w:bCs/>
          <w:color w:val="auto"/>
          <w:sz w:val="26"/>
          <w:szCs w:val="26"/>
        </w:rPr>
        <w:t>109</w:t>
      </w:r>
      <w:r w:rsidRPr="001C495D">
        <w:rPr>
          <w:rFonts w:ascii="標楷體" w:eastAsia="標楷體" w:hAnsi="標楷體" w:hint="eastAsia"/>
          <w:bCs/>
          <w:color w:val="auto"/>
          <w:sz w:val="26"/>
          <w:szCs w:val="26"/>
        </w:rPr>
        <w:t>年</w:t>
      </w:r>
      <w:r>
        <w:rPr>
          <w:rFonts w:ascii="標楷體" w:eastAsia="標楷體" w:hAnsi="標楷體" w:hint="eastAsia"/>
          <w:bCs/>
          <w:color w:val="auto"/>
          <w:sz w:val="26"/>
          <w:szCs w:val="26"/>
        </w:rPr>
        <w:t>8</w:t>
      </w:r>
      <w:r w:rsidRPr="001C495D">
        <w:rPr>
          <w:rFonts w:ascii="標楷體" w:eastAsia="標楷體" w:hAnsi="標楷體" w:hint="eastAsia"/>
          <w:bCs/>
          <w:color w:val="auto"/>
          <w:sz w:val="26"/>
          <w:szCs w:val="26"/>
        </w:rPr>
        <w:t>月</w:t>
      </w:r>
      <w:r>
        <w:rPr>
          <w:rFonts w:ascii="標楷體" w:eastAsia="標楷體" w:hAnsi="標楷體" w:hint="eastAsia"/>
          <w:bCs/>
          <w:color w:val="auto"/>
          <w:sz w:val="26"/>
          <w:szCs w:val="26"/>
        </w:rPr>
        <w:t>1</w:t>
      </w:r>
      <w:r w:rsidRPr="001C495D">
        <w:rPr>
          <w:rFonts w:ascii="標楷體" w:eastAsia="標楷體" w:hAnsi="標楷體" w:hint="eastAsia"/>
          <w:bCs/>
          <w:color w:val="auto"/>
          <w:sz w:val="26"/>
          <w:szCs w:val="26"/>
        </w:rPr>
        <w:t>日至</w:t>
      </w:r>
      <w:r w:rsidR="00DB21F8">
        <w:rPr>
          <w:rFonts w:ascii="標楷體" w:eastAsia="標楷體" w:hAnsi="標楷體" w:hint="eastAsia"/>
          <w:bCs/>
          <w:color w:val="auto"/>
          <w:sz w:val="26"/>
          <w:szCs w:val="26"/>
        </w:rPr>
        <w:t>110</w:t>
      </w:r>
      <w:r w:rsidRPr="001C495D">
        <w:rPr>
          <w:rFonts w:ascii="標楷體" w:eastAsia="標楷體" w:hAnsi="標楷體" w:hint="eastAsia"/>
          <w:bCs/>
          <w:color w:val="auto"/>
          <w:sz w:val="26"/>
          <w:szCs w:val="26"/>
        </w:rPr>
        <w:t>年</w:t>
      </w:r>
      <w:r>
        <w:rPr>
          <w:rFonts w:ascii="標楷體" w:eastAsia="標楷體" w:hAnsi="標楷體" w:hint="eastAsia"/>
          <w:bCs/>
          <w:color w:val="auto"/>
          <w:sz w:val="26"/>
          <w:szCs w:val="26"/>
        </w:rPr>
        <w:t>7</w:t>
      </w:r>
      <w:r w:rsidRPr="001C495D">
        <w:rPr>
          <w:rFonts w:ascii="標楷體" w:eastAsia="標楷體" w:hAnsi="標楷體" w:hint="eastAsia"/>
          <w:bCs/>
          <w:color w:val="auto"/>
          <w:sz w:val="26"/>
          <w:szCs w:val="26"/>
        </w:rPr>
        <w:t>月</w:t>
      </w:r>
      <w:r>
        <w:rPr>
          <w:rFonts w:ascii="標楷體" w:eastAsia="標楷體" w:hAnsi="標楷體" w:hint="eastAsia"/>
          <w:bCs/>
          <w:color w:val="auto"/>
          <w:sz w:val="26"/>
          <w:szCs w:val="26"/>
        </w:rPr>
        <w:t>31</w:t>
      </w:r>
      <w:r w:rsidRPr="001C495D">
        <w:rPr>
          <w:rFonts w:ascii="標楷體" w:eastAsia="標楷體" w:hAnsi="標楷體" w:hint="eastAsia"/>
          <w:bCs/>
          <w:color w:val="auto"/>
          <w:sz w:val="26"/>
          <w:szCs w:val="26"/>
        </w:rPr>
        <w:t>日</w:t>
      </w:r>
    </w:p>
    <w:p w:rsidR="003B4B3C" w:rsidRPr="001C495D" w:rsidRDefault="003B4B3C" w:rsidP="003B4B3C">
      <w:pPr>
        <w:pStyle w:val="Web"/>
        <w:spacing w:before="0" w:beforeAutospacing="0" w:after="0" w:afterAutospacing="0" w:line="300" w:lineRule="exact"/>
        <w:ind w:leftChars="75" w:left="679" w:hangingChars="192" w:hanging="499"/>
        <w:jc w:val="right"/>
        <w:rPr>
          <w:rFonts w:ascii="標楷體" w:eastAsia="標楷體" w:hAnsi="標楷體"/>
          <w:bCs/>
          <w:color w:val="auto"/>
          <w:sz w:val="26"/>
          <w:szCs w:val="26"/>
        </w:rPr>
      </w:pPr>
      <w:r w:rsidRPr="001C495D">
        <w:rPr>
          <w:rFonts w:ascii="標楷體" w:eastAsia="標楷體" w:hAnsi="標楷體" w:hint="eastAsia"/>
          <w:bCs/>
          <w:color w:val="auto"/>
          <w:sz w:val="26"/>
          <w:szCs w:val="26"/>
        </w:rPr>
        <w:t>評估日期：   年   月   日</w:t>
      </w:r>
    </w:p>
    <w:tbl>
      <w:tblPr>
        <w:tblW w:w="9689" w:type="dxa"/>
        <w:jc w:val="center"/>
        <w:tblLayout w:type="fixed"/>
        <w:tblCellMar>
          <w:left w:w="28" w:type="dxa"/>
          <w:right w:w="28" w:type="dxa"/>
        </w:tblCellMar>
        <w:tblLook w:val="0000" w:firstRow="0" w:lastRow="0" w:firstColumn="0" w:lastColumn="0" w:noHBand="0" w:noVBand="0"/>
      </w:tblPr>
      <w:tblGrid>
        <w:gridCol w:w="3951"/>
        <w:gridCol w:w="616"/>
        <w:gridCol w:w="630"/>
        <w:gridCol w:w="629"/>
        <w:gridCol w:w="576"/>
        <w:gridCol w:w="594"/>
        <w:gridCol w:w="1714"/>
        <w:gridCol w:w="979"/>
      </w:tblGrid>
      <w:tr w:rsidR="003B4B3C" w:rsidRPr="001C495D" w:rsidTr="00B6412C">
        <w:trPr>
          <w:trHeight w:val="150"/>
          <w:tblHeader/>
          <w:jc w:val="center"/>
        </w:trPr>
        <w:tc>
          <w:tcPr>
            <w:tcW w:w="3951"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評估重點</w:t>
            </w:r>
          </w:p>
        </w:tc>
        <w:tc>
          <w:tcPr>
            <w:tcW w:w="3045"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rsidR="003B4B3C" w:rsidRPr="003B4B3C" w:rsidRDefault="003B4B3C" w:rsidP="00E61899">
            <w:pPr>
              <w:widowControl/>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評估情形</w:t>
            </w:r>
          </w:p>
        </w:tc>
        <w:tc>
          <w:tcPr>
            <w:tcW w:w="1714"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rsidR="003B4B3C" w:rsidRPr="003B4B3C" w:rsidRDefault="003B4B3C" w:rsidP="00E61899">
            <w:pPr>
              <w:widowControl/>
              <w:snapToGrid w:val="0"/>
              <w:spacing w:line="220" w:lineRule="atLeast"/>
              <w:jc w:val="center"/>
              <w:rPr>
                <w:rFonts w:ascii="標楷體" w:eastAsia="標楷體" w:hAnsi="標楷體"/>
                <w:bCs/>
                <w:kern w:val="0"/>
                <w:szCs w:val="24"/>
              </w:rPr>
            </w:pPr>
            <w:r w:rsidRPr="003B4B3C">
              <w:rPr>
                <w:rFonts w:ascii="標楷體" w:eastAsia="標楷體" w:hAnsi="標楷體" w:hint="eastAsia"/>
                <w:bCs/>
                <w:kern w:val="0"/>
                <w:szCs w:val="24"/>
              </w:rPr>
              <w:t>部分落實/未落實/不適用情形說明</w:t>
            </w:r>
          </w:p>
        </w:tc>
        <w:tc>
          <w:tcPr>
            <w:tcW w:w="979"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rsidR="003B4B3C" w:rsidRPr="003B4B3C" w:rsidRDefault="003B4B3C" w:rsidP="00E61899">
            <w:pPr>
              <w:widowControl/>
              <w:snapToGrid w:val="0"/>
              <w:spacing w:line="240" w:lineRule="atLeast"/>
              <w:jc w:val="center"/>
              <w:rPr>
                <w:rFonts w:ascii="標楷體" w:eastAsia="標楷體" w:hAnsi="標楷體"/>
                <w:bCs/>
                <w:kern w:val="0"/>
                <w:szCs w:val="24"/>
              </w:rPr>
            </w:pPr>
            <w:r w:rsidRPr="003B4B3C">
              <w:rPr>
                <w:rFonts w:ascii="標楷體" w:eastAsia="標楷體" w:hAnsi="標楷體" w:hint="eastAsia"/>
                <w:bCs/>
                <w:kern w:val="0"/>
                <w:szCs w:val="24"/>
              </w:rPr>
              <w:t>改善措施</w:t>
            </w:r>
            <w:r w:rsidRPr="003B4B3C">
              <w:rPr>
                <w:rFonts w:ascii="標楷體" w:eastAsia="標楷體" w:hAnsi="標楷體" w:hint="eastAsia"/>
                <w:bCs/>
                <w:spacing w:val="-12"/>
                <w:kern w:val="0"/>
                <w:szCs w:val="24"/>
              </w:rPr>
              <w:t>/興革建議</w:t>
            </w:r>
          </w:p>
        </w:tc>
      </w:tr>
      <w:tr w:rsidR="003B4B3C" w:rsidRPr="001C495D" w:rsidTr="00B6412C">
        <w:trPr>
          <w:trHeight w:val="32"/>
          <w:tblHeader/>
          <w:jc w:val="center"/>
        </w:trPr>
        <w:tc>
          <w:tcPr>
            <w:tcW w:w="3951" w:type="dxa"/>
            <w:vMerge/>
            <w:tcBorders>
              <w:top w:val="single" w:sz="8" w:space="0" w:color="auto"/>
              <w:left w:val="single" w:sz="12" w:space="0" w:color="auto"/>
              <w:bottom w:val="single" w:sz="8" w:space="0" w:color="auto"/>
              <w:right w:val="single" w:sz="8" w:space="0" w:color="auto"/>
            </w:tcBorders>
            <w:shd w:val="clear" w:color="auto" w:fill="C0C0C0"/>
            <w:vAlign w:val="center"/>
          </w:tcPr>
          <w:p w:rsidR="003B4B3C" w:rsidRPr="001C495D" w:rsidRDefault="003B4B3C" w:rsidP="00E61899">
            <w:pPr>
              <w:widowControl/>
              <w:snapToGrid w:val="0"/>
              <w:spacing w:line="400" w:lineRule="atLeast"/>
              <w:rPr>
                <w:rFonts w:ascii="標楷體" w:eastAsia="標楷體" w:hAnsi="標楷體"/>
                <w:bCs/>
                <w:kern w:val="0"/>
                <w:sz w:val="26"/>
                <w:szCs w:val="26"/>
              </w:rPr>
            </w:pPr>
          </w:p>
        </w:tc>
        <w:tc>
          <w:tcPr>
            <w:tcW w:w="616" w:type="dxa"/>
            <w:tcBorders>
              <w:top w:val="single" w:sz="8" w:space="0" w:color="auto"/>
              <w:left w:val="single" w:sz="8" w:space="0" w:color="auto"/>
              <w:bottom w:val="single" w:sz="8" w:space="0" w:color="auto"/>
              <w:right w:val="single" w:sz="8" w:space="0" w:color="auto"/>
            </w:tcBorders>
            <w:shd w:val="clear" w:color="auto" w:fill="E0E0E0"/>
            <w:vAlign w:val="center"/>
          </w:tcPr>
          <w:p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落實</w:t>
            </w:r>
          </w:p>
        </w:tc>
        <w:tc>
          <w:tcPr>
            <w:tcW w:w="630" w:type="dxa"/>
            <w:tcBorders>
              <w:top w:val="single" w:sz="8" w:space="0" w:color="auto"/>
              <w:left w:val="single" w:sz="8" w:space="0" w:color="auto"/>
              <w:bottom w:val="single" w:sz="8" w:space="0" w:color="auto"/>
              <w:right w:val="single" w:sz="8" w:space="0" w:color="auto"/>
            </w:tcBorders>
            <w:shd w:val="clear" w:color="auto" w:fill="E0E0E0"/>
            <w:vAlign w:val="center"/>
          </w:tcPr>
          <w:p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部分落實</w:t>
            </w:r>
          </w:p>
        </w:tc>
        <w:tc>
          <w:tcPr>
            <w:tcW w:w="629" w:type="dxa"/>
            <w:tcBorders>
              <w:top w:val="single" w:sz="8" w:space="0" w:color="auto"/>
              <w:left w:val="single" w:sz="8" w:space="0" w:color="auto"/>
              <w:bottom w:val="single" w:sz="8" w:space="0" w:color="auto"/>
              <w:right w:val="single" w:sz="8" w:space="0" w:color="auto"/>
            </w:tcBorders>
            <w:shd w:val="clear" w:color="auto" w:fill="E0E0E0"/>
            <w:vAlign w:val="center"/>
          </w:tcPr>
          <w:p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未落實</w:t>
            </w:r>
          </w:p>
        </w:tc>
        <w:tc>
          <w:tcPr>
            <w:tcW w:w="576" w:type="dxa"/>
            <w:tcBorders>
              <w:top w:val="single" w:sz="8" w:space="0" w:color="auto"/>
              <w:left w:val="single" w:sz="8" w:space="0" w:color="auto"/>
              <w:bottom w:val="single" w:sz="8" w:space="0" w:color="auto"/>
              <w:right w:val="single" w:sz="8" w:space="0" w:color="auto"/>
            </w:tcBorders>
            <w:shd w:val="clear" w:color="auto" w:fill="E0E0E0"/>
            <w:vAlign w:val="center"/>
          </w:tcPr>
          <w:p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未發生</w:t>
            </w:r>
          </w:p>
        </w:tc>
        <w:tc>
          <w:tcPr>
            <w:tcW w:w="594" w:type="dxa"/>
            <w:tcBorders>
              <w:top w:val="single" w:sz="8" w:space="0" w:color="auto"/>
              <w:left w:val="single" w:sz="8" w:space="0" w:color="auto"/>
              <w:bottom w:val="single" w:sz="8" w:space="0" w:color="auto"/>
              <w:right w:val="single" w:sz="8" w:space="0" w:color="auto"/>
            </w:tcBorders>
            <w:shd w:val="clear" w:color="auto" w:fill="E0E0E0"/>
            <w:vAlign w:val="center"/>
          </w:tcPr>
          <w:p w:rsidR="003B4B3C" w:rsidRPr="003B4B3C" w:rsidRDefault="003B4B3C" w:rsidP="00E61899">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不適用</w:t>
            </w:r>
          </w:p>
        </w:tc>
        <w:tc>
          <w:tcPr>
            <w:tcW w:w="1714" w:type="dxa"/>
            <w:vMerge/>
            <w:tcBorders>
              <w:top w:val="single" w:sz="8" w:space="0" w:color="auto"/>
              <w:left w:val="single" w:sz="8" w:space="0" w:color="auto"/>
              <w:bottom w:val="single" w:sz="8" w:space="0" w:color="auto"/>
              <w:right w:val="single" w:sz="8" w:space="0" w:color="auto"/>
            </w:tcBorders>
            <w:shd w:val="clear" w:color="auto" w:fill="C0C0C0"/>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979" w:type="dxa"/>
            <w:vMerge/>
            <w:tcBorders>
              <w:top w:val="single" w:sz="8" w:space="0" w:color="auto"/>
              <w:left w:val="single" w:sz="8" w:space="0" w:color="auto"/>
              <w:bottom w:val="single" w:sz="8" w:space="0" w:color="auto"/>
              <w:right w:val="single" w:sz="12" w:space="0" w:color="auto"/>
            </w:tcBorders>
            <w:shd w:val="clear" w:color="auto" w:fill="C0C0C0"/>
            <w:vAlign w:val="center"/>
          </w:tcPr>
          <w:p w:rsidR="003B4B3C" w:rsidRPr="001C495D" w:rsidRDefault="003B4B3C" w:rsidP="00E61899">
            <w:pPr>
              <w:widowControl/>
              <w:snapToGrid w:val="0"/>
              <w:spacing w:line="400" w:lineRule="atLeast"/>
              <w:rPr>
                <w:rFonts w:ascii="標楷體" w:eastAsia="標楷體" w:hAnsi="標楷體"/>
                <w:bCs/>
                <w:kern w:val="0"/>
                <w:sz w:val="26"/>
                <w:szCs w:val="26"/>
              </w:rPr>
            </w:pPr>
          </w:p>
        </w:tc>
      </w:tr>
      <w:tr w:rsidR="003B4B3C" w:rsidRPr="001C495D" w:rsidTr="00B6412C">
        <w:trPr>
          <w:trHeight w:val="1743"/>
          <w:jc w:val="center"/>
        </w:trPr>
        <w:tc>
          <w:tcPr>
            <w:tcW w:w="3951" w:type="dxa"/>
            <w:tcBorders>
              <w:top w:val="single" w:sz="8" w:space="0" w:color="auto"/>
              <w:left w:val="single" w:sz="12" w:space="0" w:color="auto"/>
              <w:bottom w:val="single" w:sz="8" w:space="0" w:color="auto"/>
              <w:right w:val="single" w:sz="8" w:space="0" w:color="auto"/>
            </w:tcBorders>
          </w:tcPr>
          <w:p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一、評估機關目標無法達成之風險，並決定需優先處理之風險項目，以及定期滾動檢討風險評估，以因應內部及外部環境之改變。</w:t>
            </w:r>
          </w:p>
        </w:tc>
        <w:tc>
          <w:tcPr>
            <w:tcW w:w="61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trHeight w:val="1420"/>
          <w:jc w:val="center"/>
        </w:trPr>
        <w:tc>
          <w:tcPr>
            <w:tcW w:w="3951" w:type="dxa"/>
            <w:tcBorders>
              <w:top w:val="single" w:sz="8" w:space="0" w:color="auto"/>
              <w:left w:val="single" w:sz="12" w:space="0" w:color="auto"/>
              <w:bottom w:val="single" w:sz="8" w:space="0" w:color="auto"/>
              <w:right w:val="single" w:sz="8" w:space="0" w:color="auto"/>
            </w:tcBorders>
          </w:tcPr>
          <w:p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二、依據各項業務性質與時俱進檢討不合時宜之控制作業及作業流程，並落實執行各項控制作業。</w:t>
            </w:r>
          </w:p>
        </w:tc>
        <w:tc>
          <w:tcPr>
            <w:tcW w:w="61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trHeight w:val="1417"/>
          <w:jc w:val="center"/>
        </w:trPr>
        <w:tc>
          <w:tcPr>
            <w:tcW w:w="3951" w:type="dxa"/>
            <w:tcBorders>
              <w:top w:val="single" w:sz="8" w:space="0" w:color="auto"/>
              <w:left w:val="single" w:sz="12" w:space="0" w:color="auto"/>
              <w:bottom w:val="single" w:sz="8" w:space="0" w:color="auto"/>
              <w:right w:val="single" w:sz="8" w:space="0" w:color="auto"/>
            </w:tcBorders>
          </w:tcPr>
          <w:p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三、建立檢討主管法令規定機制，並針對外界意見或執行缺失部分即時檢討相關法令規定。</w:t>
            </w:r>
          </w:p>
        </w:tc>
        <w:tc>
          <w:tcPr>
            <w:tcW w:w="61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trHeight w:val="697"/>
          <w:jc w:val="center"/>
        </w:trPr>
        <w:tc>
          <w:tcPr>
            <w:tcW w:w="3951" w:type="dxa"/>
            <w:tcBorders>
              <w:top w:val="single" w:sz="8" w:space="0" w:color="auto"/>
              <w:left w:val="single" w:sz="12" w:space="0" w:color="auto"/>
              <w:bottom w:val="single" w:sz="8" w:space="0" w:color="auto"/>
              <w:right w:val="single" w:sz="8" w:space="0" w:color="auto"/>
            </w:tcBorders>
          </w:tcPr>
          <w:p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四、遵循相關法令規定或契約。</w:t>
            </w:r>
          </w:p>
        </w:tc>
        <w:tc>
          <w:tcPr>
            <w:tcW w:w="61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trHeight w:val="2320"/>
          <w:jc w:val="center"/>
        </w:trPr>
        <w:tc>
          <w:tcPr>
            <w:tcW w:w="3951" w:type="dxa"/>
            <w:tcBorders>
              <w:top w:val="single" w:sz="8" w:space="0" w:color="auto"/>
              <w:left w:val="single" w:sz="12" w:space="0" w:color="auto"/>
              <w:bottom w:val="single" w:sz="8" w:space="0" w:color="auto"/>
              <w:right w:val="single" w:sz="8" w:space="0" w:color="auto"/>
            </w:tcBorders>
          </w:tcPr>
          <w:p w:rsidR="003B4B3C" w:rsidRPr="001C495D" w:rsidRDefault="003B4B3C" w:rsidP="00E61899">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五、就涉及人民權利或義務之主管業務建立適當之檢核、審查、追蹤、管制或考核等管理機制，並除依法公開外，另依風險評估結果，推動其行政作業流程透明措施，以利外部監督及型</w:t>
            </w:r>
            <w:r w:rsidRPr="001C495D">
              <w:rPr>
                <w:rFonts w:eastAsia="標楷體" w:hAnsi="標楷體"/>
                <w:sz w:val="28"/>
                <w:szCs w:val="28"/>
              </w:rPr>
              <w:t>塑廉能政府</w:t>
            </w:r>
            <w:r w:rsidRPr="001C495D">
              <w:rPr>
                <w:rFonts w:ascii="標楷體" w:eastAsia="標楷體" w:hAnsi="標楷體" w:hint="eastAsia"/>
                <w:sz w:val="26"/>
                <w:szCs w:val="26"/>
              </w:rPr>
              <w:t>。</w:t>
            </w:r>
          </w:p>
        </w:tc>
        <w:tc>
          <w:tcPr>
            <w:tcW w:w="61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trHeight w:val="1024"/>
          <w:jc w:val="center"/>
        </w:trPr>
        <w:tc>
          <w:tcPr>
            <w:tcW w:w="3951" w:type="dxa"/>
            <w:tcBorders>
              <w:top w:val="single" w:sz="8" w:space="0" w:color="auto"/>
              <w:left w:val="single" w:sz="12" w:space="0" w:color="auto"/>
              <w:bottom w:val="single" w:sz="8" w:space="0" w:color="auto"/>
              <w:right w:val="single" w:sz="8" w:space="0" w:color="auto"/>
            </w:tcBorders>
          </w:tcPr>
          <w:p w:rsidR="003B4B3C" w:rsidRPr="001C495D" w:rsidRDefault="003B4B3C" w:rsidP="00E61899">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六、就主管業務對相關機關或單位善盡監理、督導或輔導等責任。</w:t>
            </w:r>
          </w:p>
        </w:tc>
        <w:tc>
          <w:tcPr>
            <w:tcW w:w="61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trHeight w:val="1773"/>
          <w:jc w:val="center"/>
        </w:trPr>
        <w:tc>
          <w:tcPr>
            <w:tcW w:w="3951" w:type="dxa"/>
            <w:tcBorders>
              <w:left w:val="single" w:sz="12" w:space="0" w:color="auto"/>
              <w:bottom w:val="single" w:sz="8" w:space="0" w:color="auto"/>
              <w:right w:val="single" w:sz="8" w:space="0" w:color="auto"/>
            </w:tcBorders>
          </w:tcPr>
          <w:p w:rsidR="003B4B3C" w:rsidRPr="001C495D" w:rsidRDefault="003B4B3C" w:rsidP="00E61899">
            <w:pPr>
              <w:widowControl/>
              <w:snapToGrid w:val="0"/>
              <w:spacing w:line="360" w:lineRule="atLeast"/>
              <w:ind w:left="480" w:hangingChars="200" w:hanging="480"/>
              <w:jc w:val="both"/>
              <w:rPr>
                <w:rFonts w:ascii="標楷體" w:eastAsia="標楷體" w:hAnsi="標楷體"/>
              </w:rPr>
            </w:pPr>
            <w:r w:rsidRPr="001C495D">
              <w:rPr>
                <w:rFonts w:ascii="標楷體" w:eastAsia="標楷體" w:hAnsi="標楷體" w:hint="eastAsia"/>
              </w:rPr>
              <w:t>七、</w:t>
            </w:r>
            <w:r w:rsidRPr="001C495D">
              <w:rPr>
                <w:rFonts w:ascii="標楷體" w:eastAsia="標楷體" w:hAnsi="標楷體" w:hint="eastAsia"/>
                <w:sz w:val="26"/>
                <w:szCs w:val="26"/>
              </w:rPr>
              <w:t>針對內部高風險業務設有明確職能分工及職務輪調等機制。</w:t>
            </w:r>
          </w:p>
          <w:p w:rsidR="003B4B3C" w:rsidRPr="001C495D" w:rsidRDefault="003B4B3C" w:rsidP="00E61899">
            <w:pPr>
              <w:widowControl/>
              <w:snapToGrid w:val="0"/>
              <w:spacing w:line="360" w:lineRule="atLeast"/>
              <w:ind w:leftChars="211" w:left="506"/>
              <w:jc w:val="both"/>
              <w:rPr>
                <w:rFonts w:ascii="標楷體" w:eastAsia="標楷體" w:hAnsi="標楷體"/>
              </w:rPr>
            </w:pPr>
            <w:r w:rsidRPr="001C495D">
              <w:rPr>
                <w:rFonts w:ascii="標楷體" w:eastAsia="標楷體" w:hAnsi="標楷體" w:hint="eastAsia"/>
                <w:b/>
              </w:rPr>
              <w:t>(由機關自行指定之單位負責評估，其餘單位免列示本項)</w:t>
            </w:r>
          </w:p>
        </w:tc>
        <w:tc>
          <w:tcPr>
            <w:tcW w:w="616" w:type="dxa"/>
            <w:tcBorders>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left w:val="single" w:sz="8" w:space="0" w:color="auto"/>
              <w:bottom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left w:val="single" w:sz="8" w:space="0" w:color="auto"/>
              <w:bottom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cantSplit/>
          <w:trHeight w:val="1022"/>
          <w:jc w:val="center"/>
        </w:trPr>
        <w:tc>
          <w:tcPr>
            <w:tcW w:w="3951" w:type="dxa"/>
            <w:tcBorders>
              <w:left w:val="single" w:sz="12" w:space="0" w:color="auto"/>
              <w:right w:val="single" w:sz="8" w:space="0" w:color="auto"/>
            </w:tcBorders>
          </w:tcPr>
          <w:p w:rsidR="003B4B3C" w:rsidRPr="001C495D" w:rsidRDefault="003B4B3C" w:rsidP="00E61899">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lastRenderedPageBreak/>
              <w:t>八、稽核評估職能單位及負責內部控制或內部稽核業務幕僚單位依相關法令規定落實辦理下列工作</w:t>
            </w:r>
            <w:r w:rsidRPr="001C495D">
              <w:rPr>
                <w:rFonts w:eastAsia="標楷體" w:hint="eastAsia"/>
                <w:sz w:val="16"/>
                <w:szCs w:val="16"/>
              </w:rPr>
              <w:t>(</w:t>
            </w:r>
            <w:r w:rsidRPr="001C495D">
              <w:rPr>
                <w:rFonts w:eastAsia="標楷體" w:hint="eastAsia"/>
                <w:sz w:val="16"/>
                <w:szCs w:val="16"/>
              </w:rPr>
              <w:t>註</w:t>
            </w:r>
            <w:r w:rsidRPr="001C495D">
              <w:rPr>
                <w:rFonts w:eastAsia="標楷體" w:hint="eastAsia"/>
                <w:sz w:val="16"/>
                <w:szCs w:val="16"/>
              </w:rPr>
              <w:t>3)</w:t>
            </w:r>
            <w:r w:rsidRPr="001C495D">
              <w:rPr>
                <w:rFonts w:ascii="標楷體" w:eastAsia="標楷體" w:hAnsi="標楷體" w:hint="eastAsia"/>
              </w:rPr>
              <w:t>：</w:t>
            </w:r>
          </w:p>
          <w:p w:rsidR="003B4B3C" w:rsidRPr="001C495D" w:rsidRDefault="003B4B3C" w:rsidP="003B4B3C">
            <w:pPr>
              <w:widowControl/>
              <w:numPr>
                <w:ilvl w:val="0"/>
                <w:numId w:val="2"/>
              </w:numPr>
              <w:tabs>
                <w:tab w:val="clear" w:pos="1248"/>
              </w:tabs>
              <w:snapToGrid w:val="0"/>
              <w:spacing w:line="360" w:lineRule="atLeast"/>
              <w:ind w:left="1114" w:hanging="540"/>
              <w:jc w:val="both"/>
              <w:rPr>
                <w:rFonts w:ascii="標楷體" w:eastAsia="標楷體" w:hAnsi="標楷體"/>
                <w:sz w:val="26"/>
                <w:szCs w:val="26"/>
              </w:rPr>
            </w:pPr>
            <w:r w:rsidRPr="001C495D">
              <w:rPr>
                <w:rFonts w:ascii="標楷體" w:eastAsia="標楷體" w:hAnsi="標楷體" w:hint="eastAsia"/>
                <w:sz w:val="26"/>
                <w:szCs w:val="26"/>
              </w:rPr>
              <w:t>施政績效管考。</w:t>
            </w:r>
          </w:p>
          <w:p w:rsidR="003B4B3C" w:rsidRPr="001C495D" w:rsidRDefault="003B4B3C" w:rsidP="003B4B3C">
            <w:pPr>
              <w:widowControl/>
              <w:numPr>
                <w:ilvl w:val="0"/>
                <w:numId w:val="2"/>
              </w:numPr>
              <w:tabs>
                <w:tab w:val="clear" w:pos="1248"/>
                <w:tab w:val="num" w:pos="1114"/>
              </w:tabs>
              <w:snapToGrid w:val="0"/>
              <w:spacing w:line="360" w:lineRule="atLeast"/>
              <w:ind w:hanging="674"/>
              <w:jc w:val="both"/>
              <w:rPr>
                <w:rFonts w:ascii="標楷體" w:eastAsia="標楷體" w:hAnsi="標楷體"/>
              </w:rPr>
            </w:pPr>
            <w:r w:rsidRPr="001C495D">
              <w:rPr>
                <w:rFonts w:ascii="標楷體" w:eastAsia="標楷體" w:hAnsi="標楷體"/>
                <w:sz w:val="26"/>
                <w:szCs w:val="26"/>
              </w:rPr>
              <w:t>…</w:t>
            </w:r>
          </w:p>
          <w:p w:rsidR="003B4B3C" w:rsidRPr="001C495D" w:rsidRDefault="003B4B3C" w:rsidP="003B4B3C">
            <w:pPr>
              <w:widowControl/>
              <w:numPr>
                <w:ilvl w:val="0"/>
                <w:numId w:val="2"/>
              </w:numPr>
              <w:tabs>
                <w:tab w:val="clear" w:pos="1248"/>
              </w:tabs>
              <w:snapToGrid w:val="0"/>
              <w:spacing w:line="360" w:lineRule="atLeast"/>
              <w:ind w:left="1114" w:hanging="540"/>
              <w:jc w:val="both"/>
              <w:rPr>
                <w:rFonts w:ascii="標楷體" w:eastAsia="標楷體" w:hAnsi="標楷體"/>
              </w:rPr>
            </w:pPr>
            <w:r w:rsidRPr="001C495D">
              <w:rPr>
                <w:rFonts w:ascii="標楷體" w:eastAsia="標楷體" w:hAnsi="標楷體" w:hint="eastAsia"/>
                <w:sz w:val="26"/>
                <w:szCs w:val="26"/>
              </w:rPr>
              <w:t>定期檢討內部控制</w:t>
            </w:r>
            <w:r w:rsidRPr="001C495D">
              <w:rPr>
                <w:rFonts w:ascii="標楷體" w:eastAsia="標楷體" w:hAnsi="標楷體" w:hint="eastAsia"/>
              </w:rPr>
              <w:t>機制</w:t>
            </w:r>
            <w:r w:rsidRPr="001C495D">
              <w:rPr>
                <w:rFonts w:ascii="標楷體" w:eastAsia="標楷體" w:hAnsi="標楷體" w:hint="eastAsia"/>
                <w:sz w:val="26"/>
                <w:szCs w:val="26"/>
              </w:rPr>
              <w:t>。</w:t>
            </w:r>
          </w:p>
          <w:p w:rsidR="003B4B3C" w:rsidRPr="001C495D" w:rsidRDefault="003B4B3C" w:rsidP="00E61899">
            <w:pPr>
              <w:widowControl/>
              <w:snapToGrid w:val="0"/>
              <w:spacing w:line="360" w:lineRule="atLeast"/>
              <w:ind w:leftChars="211" w:left="506"/>
              <w:jc w:val="both"/>
              <w:rPr>
                <w:rFonts w:ascii="標楷體" w:eastAsia="標楷體" w:hAnsi="標楷體"/>
                <w:b/>
              </w:rPr>
            </w:pPr>
            <w:r w:rsidRPr="001C495D">
              <w:rPr>
                <w:rFonts w:ascii="標楷體" w:eastAsia="標楷體" w:hAnsi="標楷體" w:hint="eastAsia"/>
                <w:b/>
              </w:rPr>
              <w:t>(非稽核評估職能單位、內部控制或內部稽核業務幕僚單位免列示本項)</w:t>
            </w:r>
          </w:p>
        </w:tc>
        <w:tc>
          <w:tcPr>
            <w:tcW w:w="616" w:type="dxa"/>
            <w:tcBorders>
              <w:left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630" w:type="dxa"/>
            <w:tcBorders>
              <w:left w:val="single" w:sz="8" w:space="0" w:color="auto"/>
              <w:right w:val="single" w:sz="8" w:space="0" w:color="auto"/>
            </w:tcBorders>
            <w:vAlign w:val="center"/>
          </w:tcPr>
          <w:p w:rsidR="003B4B3C" w:rsidRPr="001C495D" w:rsidRDefault="003B4B3C" w:rsidP="00E61899">
            <w:pPr>
              <w:snapToGrid w:val="0"/>
              <w:spacing w:line="400" w:lineRule="atLeast"/>
              <w:rPr>
                <w:rFonts w:ascii="標楷體" w:eastAsia="標楷體" w:hAnsi="標楷體"/>
                <w:bCs/>
                <w:kern w:val="0"/>
                <w:sz w:val="26"/>
                <w:szCs w:val="26"/>
              </w:rPr>
            </w:pPr>
          </w:p>
        </w:tc>
        <w:tc>
          <w:tcPr>
            <w:tcW w:w="629" w:type="dxa"/>
            <w:tcBorders>
              <w:left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594" w:type="dxa"/>
            <w:tcBorders>
              <w:left w:val="single" w:sz="8" w:space="0" w:color="auto"/>
              <w:bottom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1714" w:type="dxa"/>
            <w:tcBorders>
              <w:left w:val="single" w:sz="8" w:space="0" w:color="auto"/>
              <w:right w:val="single" w:sz="8"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sz w:val="20"/>
                <w:szCs w:val="20"/>
              </w:rPr>
            </w:pPr>
          </w:p>
        </w:tc>
        <w:tc>
          <w:tcPr>
            <w:tcW w:w="979" w:type="dxa"/>
            <w:tcBorders>
              <w:left w:val="single" w:sz="8" w:space="0" w:color="auto"/>
              <w:right w:val="single" w:sz="12" w:space="0" w:color="auto"/>
            </w:tcBorders>
            <w:vAlign w:val="center"/>
          </w:tcPr>
          <w:p w:rsidR="003B4B3C" w:rsidRPr="001C495D" w:rsidRDefault="003B4B3C" w:rsidP="00E61899">
            <w:pPr>
              <w:widowControl/>
              <w:snapToGrid w:val="0"/>
              <w:spacing w:line="400" w:lineRule="atLeast"/>
              <w:rPr>
                <w:rFonts w:ascii="標楷體" w:eastAsia="標楷體" w:hAnsi="標楷體"/>
                <w:bCs/>
                <w:kern w:val="0"/>
              </w:rPr>
            </w:pPr>
          </w:p>
        </w:tc>
      </w:tr>
      <w:tr w:rsidR="003B4B3C" w:rsidRPr="001C495D" w:rsidTr="00B6412C">
        <w:trPr>
          <w:trHeight w:val="626"/>
          <w:jc w:val="center"/>
        </w:trPr>
        <w:tc>
          <w:tcPr>
            <w:tcW w:w="9689" w:type="dxa"/>
            <w:gridSpan w:val="8"/>
            <w:tcBorders>
              <w:top w:val="single" w:sz="12" w:space="0" w:color="auto"/>
              <w:left w:val="single" w:sz="12" w:space="0" w:color="auto"/>
              <w:bottom w:val="single" w:sz="12" w:space="0" w:color="auto"/>
              <w:right w:val="single" w:sz="12" w:space="0" w:color="auto"/>
            </w:tcBorders>
            <w:vAlign w:val="center"/>
          </w:tcPr>
          <w:p w:rsidR="003B4B3C" w:rsidRPr="001C495D" w:rsidRDefault="003B4B3C" w:rsidP="00E61899">
            <w:pPr>
              <w:widowControl/>
              <w:snapToGrid w:val="0"/>
              <w:spacing w:line="400" w:lineRule="atLeast"/>
              <w:jc w:val="both"/>
              <w:rPr>
                <w:rFonts w:ascii="標楷體" w:eastAsia="標楷體" w:hAnsi="標楷體"/>
                <w:bCs/>
                <w:kern w:val="0"/>
              </w:rPr>
            </w:pPr>
            <w:r w:rsidRPr="001C495D">
              <w:rPr>
                <w:rFonts w:ascii="標楷體" w:eastAsia="標楷體" w:hAnsi="標楷體" w:hint="eastAsia"/>
                <w:sz w:val="26"/>
                <w:szCs w:val="26"/>
              </w:rPr>
              <w:t>填表人：</w:t>
            </w:r>
            <w:r w:rsidRPr="001C495D">
              <w:rPr>
                <w:rFonts w:ascii="標楷體" w:eastAsia="標楷體" w:hAnsi="標楷體"/>
                <w:sz w:val="26"/>
                <w:szCs w:val="26"/>
              </w:rPr>
              <w:t xml:space="preserve">               </w:t>
            </w:r>
            <w:r w:rsidRPr="001C495D">
              <w:rPr>
                <w:rFonts w:ascii="標楷體" w:eastAsia="標楷體" w:hAnsi="標楷體" w:hint="eastAsia"/>
                <w:sz w:val="26"/>
                <w:szCs w:val="26"/>
              </w:rPr>
              <w:t>複核：</w:t>
            </w:r>
            <w:r w:rsidRPr="001C495D">
              <w:rPr>
                <w:rFonts w:ascii="標楷體" w:eastAsia="標楷體" w:hAnsi="標楷體"/>
                <w:sz w:val="26"/>
                <w:szCs w:val="26"/>
              </w:rPr>
              <w:t xml:space="preserve">                  </w:t>
            </w:r>
            <w:r w:rsidRPr="001C495D">
              <w:rPr>
                <w:rFonts w:ascii="標楷體" w:eastAsia="標楷體" w:hAnsi="標楷體" w:hint="eastAsia"/>
                <w:sz w:val="26"/>
                <w:szCs w:val="26"/>
              </w:rPr>
              <w:t>單位主管：</w:t>
            </w:r>
          </w:p>
        </w:tc>
      </w:tr>
    </w:tbl>
    <w:p w:rsidR="003B4B3C" w:rsidRPr="001C495D" w:rsidRDefault="003B4B3C" w:rsidP="003B4B3C">
      <w:pPr>
        <w:adjustRightInd w:val="0"/>
        <w:snapToGrid w:val="0"/>
        <w:spacing w:line="240" w:lineRule="atLeast"/>
        <w:ind w:leftChars="-122" w:left="660" w:hangingChars="397" w:hanging="953"/>
        <w:rPr>
          <w:rFonts w:ascii="標楷體" w:eastAsia="標楷體" w:hAnsi="標楷體"/>
        </w:rPr>
      </w:pPr>
    </w:p>
    <w:p w:rsidR="003B4B3C" w:rsidRPr="001C495D" w:rsidRDefault="003B4B3C" w:rsidP="003B4B3C">
      <w:pPr>
        <w:adjustRightInd w:val="0"/>
        <w:snapToGrid w:val="0"/>
        <w:spacing w:line="240" w:lineRule="atLeast"/>
        <w:ind w:leftChars="-122" w:left="660" w:hangingChars="397" w:hanging="953"/>
        <w:rPr>
          <w:rFonts w:ascii="標楷體" w:eastAsia="標楷體" w:hAnsi="標楷體"/>
        </w:rPr>
      </w:pPr>
      <w:r w:rsidRPr="001C495D">
        <w:rPr>
          <w:rFonts w:ascii="標楷體" w:eastAsia="標楷體" w:hAnsi="標楷體" w:hint="eastAsia"/>
        </w:rPr>
        <w:t>註：</w:t>
      </w:r>
    </w:p>
    <w:p w:rsidR="003B4B3C" w:rsidRPr="001C495D" w:rsidRDefault="003B4B3C" w:rsidP="003B4B3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各單位除上列必要評估重點外，另得視業務性質及外部意見等調整增列評估重點項目，並依評估結果於評估情形欄勾選「落實」、「部分落實」、「未落實」、「未發生」或「不適用」；其中「未發生」係指有評估重點所規範之業務，但評估期間未發生，致無法評估者；「不適用」</w:t>
      </w:r>
      <w:r w:rsidRPr="001C495D">
        <w:rPr>
          <w:rFonts w:ascii="標楷體" w:eastAsia="標楷體" w:hAnsi="標楷體" w:hint="eastAsia"/>
          <w:color w:val="000000"/>
        </w:rPr>
        <w:t>係指評估期間法令規定或作法已修正，但評估重點未及配合修正者，或</w:t>
      </w:r>
      <w:r w:rsidRPr="001C495D">
        <w:rPr>
          <w:rFonts w:ascii="標楷體" w:eastAsia="標楷體" w:hAnsi="標楷體" w:hint="eastAsia"/>
        </w:rPr>
        <w:t>無評估重點所規範之業務等。</w:t>
      </w:r>
    </w:p>
    <w:p w:rsidR="003B4B3C" w:rsidRPr="001C495D" w:rsidRDefault="003B4B3C" w:rsidP="003B4B3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「評估期間」係指本項作業自行評估所涵蓋之期間；「評估日期」指執行該項評估之日期。</w:t>
      </w:r>
    </w:p>
    <w:p w:rsidR="003B4B3C" w:rsidRPr="001C495D" w:rsidRDefault="003B4B3C" w:rsidP="003B4B3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該評估重點係由稽核評估職能單位及負責內部控制或內部稽核業務幕僚單位自行填寫依其相關法令規定應辦理之工作，如施政績效管考、資訊安全稽核、政風查核(含廉政風險評估)、政府採購稽核、工程施工查核、國家關鍵基礎設施安全防護、人事考核(含考核工作績效及獎懲)、內部審核、事務管理工作檢核及定期檢討內部控制機制等工作。</w:t>
      </w:r>
    </w:p>
    <w:p w:rsidR="003B4B3C" w:rsidRPr="001C495D" w:rsidRDefault="003B4B3C" w:rsidP="003B4B3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本表及其佐證資料等，應自辦理自行評估工作結束日起，以書面文件或電子化型式至少保存五年。</w:t>
      </w:r>
    </w:p>
    <w:p w:rsidR="003B4B3C" w:rsidRPr="00314352" w:rsidRDefault="003B4B3C" w:rsidP="003B4B3C">
      <w:pPr>
        <w:snapToGrid w:val="0"/>
        <w:spacing w:line="280" w:lineRule="exact"/>
        <w:jc w:val="both"/>
        <w:rPr>
          <w:rFonts w:ascii="標楷體" w:eastAsia="標楷體" w:hAnsi="標楷體"/>
        </w:rPr>
      </w:pPr>
    </w:p>
    <w:p w:rsidR="0084471D" w:rsidRPr="003B4B3C" w:rsidRDefault="0084471D" w:rsidP="0075485E">
      <w:pPr>
        <w:tabs>
          <w:tab w:val="left" w:pos="476"/>
        </w:tabs>
        <w:autoSpaceDE w:val="0"/>
        <w:autoSpaceDN w:val="0"/>
        <w:adjustRightInd w:val="0"/>
        <w:spacing w:line="440" w:lineRule="exact"/>
        <w:ind w:leftChars="-6" w:left="532" w:hangingChars="195" w:hanging="546"/>
        <w:rPr>
          <w:rFonts w:ascii="標楷體" w:eastAsia="標楷體" w:hAnsi="標楷體" w:cs="DFKaiShu-SB-Estd-BF"/>
          <w:kern w:val="0"/>
          <w:sz w:val="28"/>
          <w:szCs w:val="28"/>
        </w:rPr>
      </w:pPr>
    </w:p>
    <w:sectPr w:rsidR="0084471D" w:rsidRPr="003B4B3C" w:rsidSect="00B6412C">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F8" w:rsidRDefault="008E79F8" w:rsidP="0075485E">
      <w:r>
        <w:separator/>
      </w:r>
    </w:p>
  </w:endnote>
  <w:endnote w:type="continuationSeparator" w:id="0">
    <w:p w:rsidR="008E79F8" w:rsidRDefault="008E79F8" w:rsidP="0075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F8" w:rsidRDefault="008E79F8" w:rsidP="0075485E">
      <w:r>
        <w:separator/>
      </w:r>
    </w:p>
  </w:footnote>
  <w:footnote w:type="continuationSeparator" w:id="0">
    <w:p w:rsidR="008E79F8" w:rsidRDefault="008E79F8" w:rsidP="0075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5201D"/>
    <w:multiLevelType w:val="hybridMultilevel"/>
    <w:tmpl w:val="122EBFC2"/>
    <w:lvl w:ilvl="0" w:tplc="3FC27C7C">
      <w:start w:val="1"/>
      <w:numFmt w:val="decimal"/>
      <w:lvlText w:val="%1."/>
      <w:lvlJc w:val="left"/>
      <w:pPr>
        <w:tabs>
          <w:tab w:val="num" w:pos="360"/>
        </w:tabs>
        <w:ind w:left="360" w:hanging="360"/>
      </w:pPr>
      <w:rPr>
        <w:rFonts w:cs="Times New Roman" w:hint="default"/>
        <w:strike w:val="0"/>
        <w:dstrike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FF2"/>
    <w:rsid w:val="000060A8"/>
    <w:rsid w:val="00074307"/>
    <w:rsid w:val="001F0A4F"/>
    <w:rsid w:val="002127EA"/>
    <w:rsid w:val="002920D8"/>
    <w:rsid w:val="003B4B3C"/>
    <w:rsid w:val="005C1417"/>
    <w:rsid w:val="00615162"/>
    <w:rsid w:val="006160AC"/>
    <w:rsid w:val="00631F88"/>
    <w:rsid w:val="006D55FA"/>
    <w:rsid w:val="0075485E"/>
    <w:rsid w:val="00763B03"/>
    <w:rsid w:val="00772CB1"/>
    <w:rsid w:val="00794FF2"/>
    <w:rsid w:val="00823D8F"/>
    <w:rsid w:val="00837A7F"/>
    <w:rsid w:val="0084471D"/>
    <w:rsid w:val="008A5267"/>
    <w:rsid w:val="008E28C8"/>
    <w:rsid w:val="008E79F8"/>
    <w:rsid w:val="009C771E"/>
    <w:rsid w:val="00B313AC"/>
    <w:rsid w:val="00B6412C"/>
    <w:rsid w:val="00B74A7A"/>
    <w:rsid w:val="00C56453"/>
    <w:rsid w:val="00C60E08"/>
    <w:rsid w:val="00CE5D96"/>
    <w:rsid w:val="00D557E1"/>
    <w:rsid w:val="00DA4400"/>
    <w:rsid w:val="00DB21F8"/>
    <w:rsid w:val="00DE4322"/>
    <w:rsid w:val="00DF39C7"/>
    <w:rsid w:val="00E700BB"/>
    <w:rsid w:val="00E72909"/>
    <w:rsid w:val="00EC7BB7"/>
    <w:rsid w:val="00F24DA8"/>
    <w:rsid w:val="00F96465"/>
    <w:rsid w:val="00FB2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C718"/>
  <w15:docId w15:val="{F63C8249-A0FF-4FE4-AC86-91E4EF80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3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85E"/>
    <w:pPr>
      <w:tabs>
        <w:tab w:val="center" w:pos="4153"/>
        <w:tab w:val="right" w:pos="8306"/>
      </w:tabs>
      <w:snapToGrid w:val="0"/>
    </w:pPr>
    <w:rPr>
      <w:sz w:val="20"/>
      <w:szCs w:val="20"/>
    </w:rPr>
  </w:style>
  <w:style w:type="character" w:customStyle="1" w:styleId="a4">
    <w:name w:val="頁首 字元"/>
    <w:basedOn w:val="a0"/>
    <w:link w:val="a3"/>
    <w:uiPriority w:val="99"/>
    <w:rsid w:val="0075485E"/>
    <w:rPr>
      <w:sz w:val="20"/>
      <w:szCs w:val="20"/>
    </w:rPr>
  </w:style>
  <w:style w:type="paragraph" w:styleId="a5">
    <w:name w:val="footer"/>
    <w:basedOn w:val="a"/>
    <w:link w:val="a6"/>
    <w:uiPriority w:val="99"/>
    <w:unhideWhenUsed/>
    <w:rsid w:val="0075485E"/>
    <w:pPr>
      <w:tabs>
        <w:tab w:val="center" w:pos="4153"/>
        <w:tab w:val="right" w:pos="8306"/>
      </w:tabs>
      <w:snapToGrid w:val="0"/>
    </w:pPr>
    <w:rPr>
      <w:sz w:val="20"/>
      <w:szCs w:val="20"/>
    </w:rPr>
  </w:style>
  <w:style w:type="character" w:customStyle="1" w:styleId="a6">
    <w:name w:val="頁尾 字元"/>
    <w:basedOn w:val="a0"/>
    <w:link w:val="a5"/>
    <w:uiPriority w:val="99"/>
    <w:rsid w:val="0075485E"/>
    <w:rPr>
      <w:sz w:val="20"/>
      <w:szCs w:val="20"/>
    </w:rPr>
  </w:style>
  <w:style w:type="paragraph" w:styleId="Web">
    <w:name w:val="Normal (Web)"/>
    <w:basedOn w:val="a"/>
    <w:semiHidden/>
    <w:rsid w:val="003B4B3C"/>
    <w:pPr>
      <w:widowControl/>
      <w:spacing w:before="100" w:beforeAutospacing="1" w:after="100" w:afterAutospacing="1"/>
    </w:pPr>
    <w:rPr>
      <w:rFonts w:ascii="新細明體" w:eastAsia="新細明體" w:hAnsi="新細明體" w:cs="新細明體"/>
      <w:color w:val="666666"/>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2017-06-01T02:12:00Z</cp:lastPrinted>
  <dcterms:created xsi:type="dcterms:W3CDTF">2017-05-26T02:47:00Z</dcterms:created>
  <dcterms:modified xsi:type="dcterms:W3CDTF">2021-07-07T01:06:00Z</dcterms:modified>
</cp:coreProperties>
</file>