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AC" w:rsidRPr="001C495D" w:rsidRDefault="00D046AC" w:rsidP="00D046AC">
      <w:pPr>
        <w:pStyle w:val="Web"/>
        <w:spacing w:before="0" w:beforeAutospacing="0" w:after="0" w:afterAutospacing="0" w:line="380" w:lineRule="exact"/>
        <w:ind w:leftChars="75" w:left="795" w:hangingChars="192" w:hanging="615"/>
        <w:jc w:val="center"/>
        <w:rPr>
          <w:rFonts w:ascii="標楷體" w:eastAsia="標楷體" w:hAnsi="標楷體"/>
          <w:b/>
          <w:color w:val="auto"/>
          <w:kern w:val="2"/>
          <w:sz w:val="32"/>
          <w:szCs w:val="32"/>
        </w:rPr>
      </w:pPr>
      <w:bookmarkStart w:id="0" w:name="_GoBack"/>
      <w:bookmarkEnd w:id="0"/>
      <w:r>
        <w:rPr>
          <w:rFonts w:ascii="標楷體" w:eastAsia="標楷體" w:hAnsi="標楷體" w:hint="eastAsia"/>
          <w:b/>
          <w:color w:val="auto"/>
          <w:sz w:val="32"/>
          <w:szCs w:val="32"/>
        </w:rPr>
        <w:t>國立政治大學</w:t>
      </w:r>
      <w:r w:rsidRPr="001C495D">
        <w:rPr>
          <w:rFonts w:ascii="標楷體" w:eastAsia="標楷體" w:hAnsi="標楷體" w:hint="eastAsia"/>
          <w:b/>
          <w:color w:val="auto"/>
          <w:sz w:val="32"/>
          <w:szCs w:val="32"/>
        </w:rPr>
        <w:t>內部控制</w:t>
      </w:r>
      <w:r w:rsidRPr="001C495D">
        <w:rPr>
          <w:rFonts w:ascii="標楷體" w:eastAsia="標楷體" w:hAnsi="標楷體" w:hint="eastAsia"/>
          <w:b/>
          <w:color w:val="auto"/>
          <w:kern w:val="2"/>
          <w:sz w:val="32"/>
          <w:szCs w:val="32"/>
        </w:rPr>
        <w:t>自行評估表</w:t>
      </w:r>
    </w:p>
    <w:p w:rsidR="00D046AC" w:rsidRPr="001C495D" w:rsidRDefault="00D046AC" w:rsidP="00D046AC">
      <w:pPr>
        <w:pStyle w:val="Web"/>
        <w:spacing w:before="0" w:beforeAutospacing="0" w:after="0" w:afterAutospacing="0" w:line="380" w:lineRule="exact"/>
        <w:ind w:leftChars="75" w:left="795" w:hangingChars="192" w:hanging="615"/>
        <w:jc w:val="center"/>
        <w:rPr>
          <w:rFonts w:ascii="標楷體" w:eastAsia="標楷體" w:hAnsi="標楷體" w:cs="Times New Roman"/>
          <w:b/>
          <w:color w:val="auto"/>
          <w:kern w:val="2"/>
          <w:sz w:val="32"/>
          <w:szCs w:val="32"/>
        </w:rPr>
      </w:pPr>
      <w:r>
        <w:rPr>
          <w:rFonts w:ascii="標楷體" w:eastAsia="標楷體" w:hAnsi="標楷體" w:hint="eastAsia"/>
          <w:b/>
          <w:color w:val="auto"/>
          <w:kern w:val="2"/>
          <w:sz w:val="32"/>
          <w:szCs w:val="32"/>
        </w:rPr>
        <w:t>111</w:t>
      </w:r>
      <w:r w:rsidRPr="001C495D">
        <w:rPr>
          <w:rFonts w:ascii="標楷體" w:eastAsia="標楷體" w:hAnsi="標楷體" w:hint="eastAsia"/>
          <w:b/>
          <w:color w:val="auto"/>
          <w:kern w:val="2"/>
          <w:sz w:val="32"/>
          <w:szCs w:val="32"/>
        </w:rPr>
        <w:t>年度</w:t>
      </w:r>
    </w:p>
    <w:p w:rsidR="00D046AC" w:rsidRPr="001C495D" w:rsidRDefault="00D046AC" w:rsidP="00D046AC">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color w:val="auto"/>
          <w:kern w:val="2"/>
          <w:sz w:val="26"/>
          <w:szCs w:val="26"/>
        </w:rPr>
        <w:t>評估單位：</w:t>
      </w:r>
      <w:r w:rsidRPr="001C495D">
        <w:rPr>
          <w:rFonts w:ascii="標楷體" w:eastAsia="標楷體" w:hAnsi="標楷體" w:hint="eastAsia"/>
          <w:bCs/>
          <w:color w:val="auto"/>
          <w:sz w:val="26"/>
          <w:szCs w:val="26"/>
        </w:rPr>
        <w:t>○○</w:t>
      </w:r>
    </w:p>
    <w:p w:rsidR="00D046AC" w:rsidRPr="001C495D" w:rsidRDefault="00D046AC" w:rsidP="00D046AC">
      <w:pPr>
        <w:pStyle w:val="Web"/>
        <w:spacing w:before="0" w:beforeAutospacing="0" w:after="0" w:afterAutospacing="0" w:line="300" w:lineRule="exact"/>
        <w:ind w:leftChars="75" w:left="679" w:hangingChars="192" w:hanging="499"/>
        <w:rPr>
          <w:rFonts w:ascii="標楷體" w:eastAsia="標楷體" w:hAnsi="標楷體"/>
          <w:color w:val="auto"/>
          <w:kern w:val="2"/>
          <w:sz w:val="26"/>
          <w:szCs w:val="26"/>
        </w:rPr>
      </w:pPr>
      <w:r w:rsidRPr="001C495D">
        <w:rPr>
          <w:rFonts w:ascii="標楷體" w:eastAsia="標楷體" w:hAnsi="標楷體" w:hint="eastAsia"/>
          <w:bCs/>
          <w:color w:val="auto"/>
          <w:sz w:val="26"/>
          <w:szCs w:val="26"/>
        </w:rPr>
        <w:t>評估期間：</w:t>
      </w:r>
      <w:r>
        <w:rPr>
          <w:rFonts w:ascii="標楷體" w:eastAsia="標楷體" w:hAnsi="標楷體" w:hint="eastAsia"/>
          <w:bCs/>
          <w:color w:val="auto"/>
          <w:sz w:val="26"/>
          <w:szCs w:val="26"/>
        </w:rPr>
        <w:t>110</w:t>
      </w:r>
      <w:r w:rsidRPr="001C495D">
        <w:rPr>
          <w:rFonts w:ascii="標楷體" w:eastAsia="標楷體" w:hAnsi="標楷體" w:hint="eastAsia"/>
          <w:bCs/>
          <w:color w:val="auto"/>
          <w:sz w:val="26"/>
          <w:szCs w:val="26"/>
        </w:rPr>
        <w:t>年</w:t>
      </w:r>
      <w:r>
        <w:rPr>
          <w:rFonts w:ascii="標楷體" w:eastAsia="標楷體" w:hAnsi="標楷體" w:hint="eastAsia"/>
          <w:bCs/>
          <w:color w:val="auto"/>
          <w:sz w:val="26"/>
          <w:szCs w:val="26"/>
        </w:rPr>
        <w:t>8</w:t>
      </w:r>
      <w:r w:rsidRPr="001C495D">
        <w:rPr>
          <w:rFonts w:ascii="標楷體" w:eastAsia="標楷體" w:hAnsi="標楷體" w:hint="eastAsia"/>
          <w:bCs/>
          <w:color w:val="auto"/>
          <w:sz w:val="26"/>
          <w:szCs w:val="26"/>
        </w:rPr>
        <w:t>月</w:t>
      </w:r>
      <w:r>
        <w:rPr>
          <w:rFonts w:ascii="標楷體" w:eastAsia="標楷體" w:hAnsi="標楷體" w:hint="eastAsia"/>
          <w:bCs/>
          <w:color w:val="auto"/>
          <w:sz w:val="26"/>
          <w:szCs w:val="26"/>
        </w:rPr>
        <w:t>1</w:t>
      </w:r>
      <w:r w:rsidRPr="001C495D">
        <w:rPr>
          <w:rFonts w:ascii="標楷體" w:eastAsia="標楷體" w:hAnsi="標楷體" w:hint="eastAsia"/>
          <w:bCs/>
          <w:color w:val="auto"/>
          <w:sz w:val="26"/>
          <w:szCs w:val="26"/>
        </w:rPr>
        <w:t>日至</w:t>
      </w:r>
      <w:r>
        <w:rPr>
          <w:rFonts w:ascii="標楷體" w:eastAsia="標楷體" w:hAnsi="標楷體" w:hint="eastAsia"/>
          <w:bCs/>
          <w:color w:val="auto"/>
          <w:sz w:val="26"/>
          <w:szCs w:val="26"/>
        </w:rPr>
        <w:t>111</w:t>
      </w:r>
      <w:r w:rsidRPr="001C495D">
        <w:rPr>
          <w:rFonts w:ascii="標楷體" w:eastAsia="標楷體" w:hAnsi="標楷體" w:hint="eastAsia"/>
          <w:bCs/>
          <w:color w:val="auto"/>
          <w:sz w:val="26"/>
          <w:szCs w:val="26"/>
        </w:rPr>
        <w:t>年</w:t>
      </w:r>
      <w:r>
        <w:rPr>
          <w:rFonts w:ascii="標楷體" w:eastAsia="標楷體" w:hAnsi="標楷體" w:hint="eastAsia"/>
          <w:bCs/>
          <w:color w:val="auto"/>
          <w:sz w:val="26"/>
          <w:szCs w:val="26"/>
        </w:rPr>
        <w:t>7</w:t>
      </w:r>
      <w:r w:rsidRPr="001C495D">
        <w:rPr>
          <w:rFonts w:ascii="標楷體" w:eastAsia="標楷體" w:hAnsi="標楷體" w:hint="eastAsia"/>
          <w:bCs/>
          <w:color w:val="auto"/>
          <w:sz w:val="26"/>
          <w:szCs w:val="26"/>
        </w:rPr>
        <w:t>月</w:t>
      </w:r>
      <w:r>
        <w:rPr>
          <w:rFonts w:ascii="標楷體" w:eastAsia="標楷體" w:hAnsi="標楷體" w:hint="eastAsia"/>
          <w:bCs/>
          <w:color w:val="auto"/>
          <w:sz w:val="26"/>
          <w:szCs w:val="26"/>
        </w:rPr>
        <w:t>31</w:t>
      </w:r>
      <w:r w:rsidRPr="001C495D">
        <w:rPr>
          <w:rFonts w:ascii="標楷體" w:eastAsia="標楷體" w:hAnsi="標楷體" w:hint="eastAsia"/>
          <w:bCs/>
          <w:color w:val="auto"/>
          <w:sz w:val="26"/>
          <w:szCs w:val="26"/>
        </w:rPr>
        <w:t>日</w:t>
      </w:r>
    </w:p>
    <w:p w:rsidR="00D046AC" w:rsidRPr="001C495D" w:rsidRDefault="00D046AC" w:rsidP="00D046AC">
      <w:pPr>
        <w:pStyle w:val="Web"/>
        <w:spacing w:before="0" w:beforeAutospacing="0" w:after="0" w:afterAutospacing="0" w:line="300" w:lineRule="exact"/>
        <w:ind w:leftChars="75" w:left="679" w:hangingChars="192" w:hanging="499"/>
        <w:jc w:val="right"/>
        <w:rPr>
          <w:rFonts w:ascii="標楷體" w:eastAsia="標楷體" w:hAnsi="標楷體"/>
          <w:bCs/>
          <w:color w:val="auto"/>
          <w:sz w:val="26"/>
          <w:szCs w:val="26"/>
        </w:rPr>
      </w:pPr>
      <w:r w:rsidRPr="001C495D">
        <w:rPr>
          <w:rFonts w:ascii="標楷體" w:eastAsia="標楷體" w:hAnsi="標楷體" w:hint="eastAsia"/>
          <w:bCs/>
          <w:color w:val="auto"/>
          <w:sz w:val="26"/>
          <w:szCs w:val="26"/>
        </w:rPr>
        <w:t>評估日期：   年   月   日</w:t>
      </w:r>
    </w:p>
    <w:tbl>
      <w:tblPr>
        <w:tblW w:w="9689" w:type="dxa"/>
        <w:jc w:val="center"/>
        <w:tblLayout w:type="fixed"/>
        <w:tblCellMar>
          <w:left w:w="28" w:type="dxa"/>
          <w:right w:w="28" w:type="dxa"/>
        </w:tblCellMar>
        <w:tblLook w:val="0000" w:firstRow="0" w:lastRow="0" w:firstColumn="0" w:lastColumn="0" w:noHBand="0" w:noVBand="0"/>
      </w:tblPr>
      <w:tblGrid>
        <w:gridCol w:w="3951"/>
        <w:gridCol w:w="616"/>
        <w:gridCol w:w="630"/>
        <w:gridCol w:w="629"/>
        <w:gridCol w:w="576"/>
        <w:gridCol w:w="594"/>
        <w:gridCol w:w="1714"/>
        <w:gridCol w:w="979"/>
      </w:tblGrid>
      <w:tr w:rsidR="00D046AC" w:rsidRPr="001C495D" w:rsidTr="00FB230B">
        <w:trPr>
          <w:trHeight w:val="150"/>
          <w:tblHeader/>
          <w:jc w:val="center"/>
        </w:trPr>
        <w:tc>
          <w:tcPr>
            <w:tcW w:w="3951" w:type="dxa"/>
            <w:vMerge w:val="restart"/>
            <w:tcBorders>
              <w:top w:val="single" w:sz="12" w:space="0" w:color="auto"/>
              <w:left w:val="single" w:sz="12" w:space="0" w:color="auto"/>
              <w:bottom w:val="single" w:sz="8" w:space="0" w:color="auto"/>
              <w:right w:val="single" w:sz="8" w:space="0" w:color="auto"/>
            </w:tcBorders>
            <w:shd w:val="clear" w:color="auto" w:fill="E0E0E0"/>
            <w:vAlign w:val="center"/>
          </w:tcPr>
          <w:p w:rsidR="00D046AC" w:rsidRPr="003B4B3C" w:rsidRDefault="00D046AC" w:rsidP="00FB230B">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評估重點</w:t>
            </w:r>
          </w:p>
        </w:tc>
        <w:tc>
          <w:tcPr>
            <w:tcW w:w="3045" w:type="dxa"/>
            <w:gridSpan w:val="5"/>
            <w:tcBorders>
              <w:top w:val="single" w:sz="12" w:space="0" w:color="auto"/>
              <w:left w:val="single" w:sz="8" w:space="0" w:color="auto"/>
              <w:bottom w:val="single" w:sz="8" w:space="0" w:color="auto"/>
              <w:right w:val="single" w:sz="8" w:space="0" w:color="auto"/>
            </w:tcBorders>
            <w:shd w:val="clear" w:color="auto" w:fill="E0E0E0"/>
            <w:vAlign w:val="center"/>
          </w:tcPr>
          <w:p w:rsidR="00D046AC" w:rsidRPr="003B4B3C" w:rsidRDefault="00D046AC" w:rsidP="00FB230B">
            <w:pPr>
              <w:widowControl/>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評估情形</w:t>
            </w:r>
          </w:p>
        </w:tc>
        <w:tc>
          <w:tcPr>
            <w:tcW w:w="1714" w:type="dxa"/>
            <w:vMerge w:val="restart"/>
            <w:tcBorders>
              <w:top w:val="single" w:sz="12" w:space="0" w:color="auto"/>
              <w:left w:val="single" w:sz="8" w:space="0" w:color="auto"/>
              <w:bottom w:val="single" w:sz="8" w:space="0" w:color="auto"/>
              <w:right w:val="single" w:sz="8" w:space="0" w:color="auto"/>
            </w:tcBorders>
            <w:shd w:val="clear" w:color="auto" w:fill="E0E0E0"/>
            <w:vAlign w:val="center"/>
          </w:tcPr>
          <w:p w:rsidR="00D046AC" w:rsidRPr="003B4B3C" w:rsidRDefault="00D046AC" w:rsidP="00FB230B">
            <w:pPr>
              <w:widowControl/>
              <w:snapToGrid w:val="0"/>
              <w:spacing w:line="220" w:lineRule="atLeast"/>
              <w:jc w:val="center"/>
              <w:rPr>
                <w:rFonts w:ascii="標楷體" w:eastAsia="標楷體" w:hAnsi="標楷體"/>
                <w:bCs/>
                <w:kern w:val="0"/>
                <w:szCs w:val="24"/>
              </w:rPr>
            </w:pPr>
            <w:r w:rsidRPr="003B4B3C">
              <w:rPr>
                <w:rFonts w:ascii="標楷體" w:eastAsia="標楷體" w:hAnsi="標楷體" w:hint="eastAsia"/>
                <w:bCs/>
                <w:kern w:val="0"/>
                <w:szCs w:val="24"/>
              </w:rPr>
              <w:t>部分落實/未落實/不適用情形說明</w:t>
            </w:r>
          </w:p>
        </w:tc>
        <w:tc>
          <w:tcPr>
            <w:tcW w:w="979" w:type="dxa"/>
            <w:vMerge w:val="restart"/>
            <w:tcBorders>
              <w:top w:val="single" w:sz="12" w:space="0" w:color="auto"/>
              <w:left w:val="single" w:sz="8" w:space="0" w:color="auto"/>
              <w:bottom w:val="single" w:sz="8" w:space="0" w:color="auto"/>
              <w:right w:val="single" w:sz="12" w:space="0" w:color="auto"/>
            </w:tcBorders>
            <w:shd w:val="clear" w:color="auto" w:fill="E0E0E0"/>
            <w:vAlign w:val="center"/>
          </w:tcPr>
          <w:p w:rsidR="00D046AC" w:rsidRPr="003B4B3C" w:rsidRDefault="00D046AC" w:rsidP="00FB230B">
            <w:pPr>
              <w:widowControl/>
              <w:snapToGrid w:val="0"/>
              <w:spacing w:line="240" w:lineRule="atLeast"/>
              <w:jc w:val="center"/>
              <w:rPr>
                <w:rFonts w:ascii="標楷體" w:eastAsia="標楷體" w:hAnsi="標楷體"/>
                <w:bCs/>
                <w:kern w:val="0"/>
                <w:szCs w:val="24"/>
              </w:rPr>
            </w:pPr>
            <w:r w:rsidRPr="003B4B3C">
              <w:rPr>
                <w:rFonts w:ascii="標楷體" w:eastAsia="標楷體" w:hAnsi="標楷體" w:hint="eastAsia"/>
                <w:bCs/>
                <w:kern w:val="0"/>
                <w:szCs w:val="24"/>
              </w:rPr>
              <w:t>改善措施</w:t>
            </w:r>
            <w:r w:rsidRPr="003B4B3C">
              <w:rPr>
                <w:rFonts w:ascii="標楷體" w:eastAsia="標楷體" w:hAnsi="標楷體" w:hint="eastAsia"/>
                <w:bCs/>
                <w:spacing w:val="-12"/>
                <w:kern w:val="0"/>
                <w:szCs w:val="24"/>
              </w:rPr>
              <w:t>/興革建議</w:t>
            </w:r>
          </w:p>
        </w:tc>
      </w:tr>
      <w:tr w:rsidR="00D046AC" w:rsidRPr="001C495D" w:rsidTr="00FB230B">
        <w:trPr>
          <w:trHeight w:val="32"/>
          <w:tblHeader/>
          <w:jc w:val="center"/>
        </w:trPr>
        <w:tc>
          <w:tcPr>
            <w:tcW w:w="3951" w:type="dxa"/>
            <w:vMerge/>
            <w:tcBorders>
              <w:top w:val="single" w:sz="8" w:space="0" w:color="auto"/>
              <w:left w:val="single" w:sz="12" w:space="0" w:color="auto"/>
              <w:bottom w:val="single" w:sz="8" w:space="0" w:color="auto"/>
              <w:right w:val="single" w:sz="8" w:space="0" w:color="auto"/>
            </w:tcBorders>
            <w:shd w:val="clear" w:color="auto" w:fill="C0C0C0"/>
            <w:vAlign w:val="center"/>
          </w:tcPr>
          <w:p w:rsidR="00D046AC" w:rsidRPr="001C495D" w:rsidRDefault="00D046AC" w:rsidP="00FB230B">
            <w:pPr>
              <w:widowControl/>
              <w:snapToGrid w:val="0"/>
              <w:spacing w:line="400" w:lineRule="atLeast"/>
              <w:rPr>
                <w:rFonts w:ascii="標楷體" w:eastAsia="標楷體" w:hAnsi="標楷體"/>
                <w:bCs/>
                <w:kern w:val="0"/>
                <w:sz w:val="26"/>
                <w:szCs w:val="26"/>
              </w:rPr>
            </w:pPr>
          </w:p>
        </w:tc>
        <w:tc>
          <w:tcPr>
            <w:tcW w:w="616" w:type="dxa"/>
            <w:tcBorders>
              <w:top w:val="single" w:sz="8" w:space="0" w:color="auto"/>
              <w:left w:val="single" w:sz="8" w:space="0" w:color="auto"/>
              <w:bottom w:val="single" w:sz="8" w:space="0" w:color="auto"/>
              <w:right w:val="single" w:sz="8" w:space="0" w:color="auto"/>
            </w:tcBorders>
            <w:shd w:val="clear" w:color="auto" w:fill="E0E0E0"/>
            <w:vAlign w:val="center"/>
          </w:tcPr>
          <w:p w:rsidR="00D046AC" w:rsidRPr="003B4B3C" w:rsidRDefault="00D046AC" w:rsidP="00FB230B">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落實</w:t>
            </w:r>
          </w:p>
        </w:tc>
        <w:tc>
          <w:tcPr>
            <w:tcW w:w="630" w:type="dxa"/>
            <w:tcBorders>
              <w:top w:val="single" w:sz="8" w:space="0" w:color="auto"/>
              <w:left w:val="single" w:sz="8" w:space="0" w:color="auto"/>
              <w:bottom w:val="single" w:sz="8" w:space="0" w:color="auto"/>
              <w:right w:val="single" w:sz="8" w:space="0" w:color="auto"/>
            </w:tcBorders>
            <w:shd w:val="clear" w:color="auto" w:fill="E0E0E0"/>
            <w:vAlign w:val="center"/>
          </w:tcPr>
          <w:p w:rsidR="00D046AC" w:rsidRPr="003B4B3C" w:rsidRDefault="00D046AC" w:rsidP="00FB230B">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部分落實</w:t>
            </w:r>
          </w:p>
        </w:tc>
        <w:tc>
          <w:tcPr>
            <w:tcW w:w="629" w:type="dxa"/>
            <w:tcBorders>
              <w:top w:val="single" w:sz="8" w:space="0" w:color="auto"/>
              <w:left w:val="single" w:sz="8" w:space="0" w:color="auto"/>
              <w:bottom w:val="single" w:sz="8" w:space="0" w:color="auto"/>
              <w:right w:val="single" w:sz="8" w:space="0" w:color="auto"/>
            </w:tcBorders>
            <w:shd w:val="clear" w:color="auto" w:fill="E0E0E0"/>
            <w:vAlign w:val="center"/>
          </w:tcPr>
          <w:p w:rsidR="00D046AC" w:rsidRPr="003B4B3C" w:rsidRDefault="00D046AC" w:rsidP="00FB230B">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未落實</w:t>
            </w:r>
          </w:p>
        </w:tc>
        <w:tc>
          <w:tcPr>
            <w:tcW w:w="576" w:type="dxa"/>
            <w:tcBorders>
              <w:top w:val="single" w:sz="8" w:space="0" w:color="auto"/>
              <w:left w:val="single" w:sz="8" w:space="0" w:color="auto"/>
              <w:bottom w:val="single" w:sz="8" w:space="0" w:color="auto"/>
              <w:right w:val="single" w:sz="8" w:space="0" w:color="auto"/>
            </w:tcBorders>
            <w:shd w:val="clear" w:color="auto" w:fill="E0E0E0"/>
            <w:vAlign w:val="center"/>
          </w:tcPr>
          <w:p w:rsidR="00D046AC" w:rsidRPr="003B4B3C" w:rsidRDefault="00D046AC" w:rsidP="00FB230B">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未發生</w:t>
            </w:r>
          </w:p>
        </w:tc>
        <w:tc>
          <w:tcPr>
            <w:tcW w:w="594" w:type="dxa"/>
            <w:tcBorders>
              <w:top w:val="single" w:sz="8" w:space="0" w:color="auto"/>
              <w:left w:val="single" w:sz="8" w:space="0" w:color="auto"/>
              <w:bottom w:val="single" w:sz="8" w:space="0" w:color="auto"/>
              <w:right w:val="single" w:sz="8" w:space="0" w:color="auto"/>
            </w:tcBorders>
            <w:shd w:val="clear" w:color="auto" w:fill="E0E0E0"/>
            <w:vAlign w:val="center"/>
          </w:tcPr>
          <w:p w:rsidR="00D046AC" w:rsidRPr="003B4B3C" w:rsidRDefault="00D046AC" w:rsidP="00FB230B">
            <w:pPr>
              <w:snapToGrid w:val="0"/>
              <w:spacing w:line="400" w:lineRule="atLeast"/>
              <w:jc w:val="center"/>
              <w:rPr>
                <w:rFonts w:ascii="標楷體" w:eastAsia="標楷體" w:hAnsi="標楷體"/>
                <w:bCs/>
                <w:kern w:val="0"/>
                <w:szCs w:val="24"/>
              </w:rPr>
            </w:pPr>
            <w:r w:rsidRPr="003B4B3C">
              <w:rPr>
                <w:rFonts w:ascii="標楷體" w:eastAsia="標楷體" w:hAnsi="標楷體" w:hint="eastAsia"/>
                <w:bCs/>
                <w:kern w:val="0"/>
                <w:szCs w:val="24"/>
              </w:rPr>
              <w:t>不適用</w:t>
            </w:r>
          </w:p>
        </w:tc>
        <w:tc>
          <w:tcPr>
            <w:tcW w:w="1714" w:type="dxa"/>
            <w:vMerge/>
            <w:tcBorders>
              <w:top w:val="single" w:sz="8" w:space="0" w:color="auto"/>
              <w:left w:val="single" w:sz="8" w:space="0" w:color="auto"/>
              <w:bottom w:val="single" w:sz="8" w:space="0" w:color="auto"/>
              <w:right w:val="single" w:sz="8" w:space="0" w:color="auto"/>
            </w:tcBorders>
            <w:shd w:val="clear" w:color="auto" w:fill="C0C0C0"/>
            <w:vAlign w:val="center"/>
          </w:tcPr>
          <w:p w:rsidR="00D046AC" w:rsidRPr="001C495D" w:rsidRDefault="00D046AC" w:rsidP="00FB230B">
            <w:pPr>
              <w:snapToGrid w:val="0"/>
              <w:spacing w:line="400" w:lineRule="atLeast"/>
              <w:rPr>
                <w:rFonts w:ascii="標楷體" w:eastAsia="標楷體" w:hAnsi="標楷體"/>
                <w:bCs/>
                <w:kern w:val="0"/>
                <w:sz w:val="26"/>
                <w:szCs w:val="26"/>
              </w:rPr>
            </w:pPr>
          </w:p>
        </w:tc>
        <w:tc>
          <w:tcPr>
            <w:tcW w:w="979" w:type="dxa"/>
            <w:vMerge/>
            <w:tcBorders>
              <w:top w:val="single" w:sz="8" w:space="0" w:color="auto"/>
              <w:left w:val="single" w:sz="8" w:space="0" w:color="auto"/>
              <w:bottom w:val="single" w:sz="8" w:space="0" w:color="auto"/>
              <w:right w:val="single" w:sz="12" w:space="0" w:color="auto"/>
            </w:tcBorders>
            <w:shd w:val="clear" w:color="auto" w:fill="C0C0C0"/>
            <w:vAlign w:val="center"/>
          </w:tcPr>
          <w:p w:rsidR="00D046AC" w:rsidRPr="001C495D" w:rsidRDefault="00D046AC" w:rsidP="00FB230B">
            <w:pPr>
              <w:widowControl/>
              <w:snapToGrid w:val="0"/>
              <w:spacing w:line="400" w:lineRule="atLeast"/>
              <w:rPr>
                <w:rFonts w:ascii="標楷體" w:eastAsia="標楷體" w:hAnsi="標楷體"/>
                <w:bCs/>
                <w:kern w:val="0"/>
                <w:sz w:val="26"/>
                <w:szCs w:val="26"/>
              </w:rPr>
            </w:pPr>
          </w:p>
        </w:tc>
      </w:tr>
      <w:tr w:rsidR="00D046AC" w:rsidRPr="001C495D" w:rsidTr="00FB230B">
        <w:trPr>
          <w:trHeight w:val="1743"/>
          <w:jc w:val="center"/>
        </w:trPr>
        <w:tc>
          <w:tcPr>
            <w:tcW w:w="3951" w:type="dxa"/>
            <w:tcBorders>
              <w:top w:val="single" w:sz="8" w:space="0" w:color="auto"/>
              <w:left w:val="single" w:sz="12" w:space="0" w:color="auto"/>
              <w:bottom w:val="single" w:sz="8" w:space="0" w:color="auto"/>
              <w:right w:val="single" w:sz="8" w:space="0" w:color="auto"/>
            </w:tcBorders>
          </w:tcPr>
          <w:p w:rsidR="00D046AC" w:rsidRPr="001C495D" w:rsidRDefault="00D046AC" w:rsidP="00FB230B">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一、評估機關目標無法達成之風險，並決定需優先處理之風險項目，以及定期滾動檢討風險評估，以因應內部及外部環境之改變。</w:t>
            </w:r>
          </w:p>
        </w:tc>
        <w:tc>
          <w:tcPr>
            <w:tcW w:w="61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rPr>
            </w:pPr>
          </w:p>
        </w:tc>
      </w:tr>
      <w:tr w:rsidR="00D046AC" w:rsidRPr="001C495D" w:rsidTr="00FB230B">
        <w:trPr>
          <w:trHeight w:val="1420"/>
          <w:jc w:val="center"/>
        </w:trPr>
        <w:tc>
          <w:tcPr>
            <w:tcW w:w="3951" w:type="dxa"/>
            <w:tcBorders>
              <w:top w:val="single" w:sz="8" w:space="0" w:color="auto"/>
              <w:left w:val="single" w:sz="12" w:space="0" w:color="auto"/>
              <w:bottom w:val="single" w:sz="8" w:space="0" w:color="auto"/>
              <w:right w:val="single" w:sz="8" w:space="0" w:color="auto"/>
            </w:tcBorders>
          </w:tcPr>
          <w:p w:rsidR="00D046AC" w:rsidRPr="001C495D" w:rsidRDefault="00D046AC" w:rsidP="00FB230B">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二、依據各項業務性質與時俱進檢討不合時宜之控制作業及作業流程，並落實執行各項控制作業。</w:t>
            </w:r>
          </w:p>
        </w:tc>
        <w:tc>
          <w:tcPr>
            <w:tcW w:w="61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rPr>
            </w:pPr>
          </w:p>
        </w:tc>
      </w:tr>
      <w:tr w:rsidR="00D046AC" w:rsidRPr="001C495D" w:rsidTr="00FB230B">
        <w:trPr>
          <w:trHeight w:val="1417"/>
          <w:jc w:val="center"/>
        </w:trPr>
        <w:tc>
          <w:tcPr>
            <w:tcW w:w="3951" w:type="dxa"/>
            <w:tcBorders>
              <w:top w:val="single" w:sz="8" w:space="0" w:color="auto"/>
              <w:left w:val="single" w:sz="12" w:space="0" w:color="auto"/>
              <w:bottom w:val="single" w:sz="8" w:space="0" w:color="auto"/>
              <w:right w:val="single" w:sz="8" w:space="0" w:color="auto"/>
            </w:tcBorders>
          </w:tcPr>
          <w:p w:rsidR="00D046AC" w:rsidRPr="001C495D" w:rsidRDefault="00D046AC" w:rsidP="00FB230B">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三、建立檢討主管法令規定機制，並針對外界意見或執行缺失部分即時檢討相關法令規定。</w:t>
            </w:r>
          </w:p>
        </w:tc>
        <w:tc>
          <w:tcPr>
            <w:tcW w:w="61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rPr>
            </w:pPr>
          </w:p>
        </w:tc>
      </w:tr>
      <w:tr w:rsidR="00D046AC" w:rsidRPr="001C495D" w:rsidTr="00FB230B">
        <w:trPr>
          <w:trHeight w:val="697"/>
          <w:jc w:val="center"/>
        </w:trPr>
        <w:tc>
          <w:tcPr>
            <w:tcW w:w="3951" w:type="dxa"/>
            <w:tcBorders>
              <w:top w:val="single" w:sz="8" w:space="0" w:color="auto"/>
              <w:left w:val="single" w:sz="12" w:space="0" w:color="auto"/>
              <w:bottom w:val="single" w:sz="8" w:space="0" w:color="auto"/>
              <w:right w:val="single" w:sz="8" w:space="0" w:color="auto"/>
            </w:tcBorders>
          </w:tcPr>
          <w:p w:rsidR="00D046AC" w:rsidRPr="001C495D" w:rsidRDefault="00D046AC" w:rsidP="00FB230B">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t>四、遵循相關法令規定或契約。</w:t>
            </w:r>
          </w:p>
        </w:tc>
        <w:tc>
          <w:tcPr>
            <w:tcW w:w="61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rPr>
            </w:pPr>
          </w:p>
        </w:tc>
      </w:tr>
      <w:tr w:rsidR="00D046AC" w:rsidRPr="001C495D" w:rsidTr="00FB230B">
        <w:trPr>
          <w:trHeight w:val="2320"/>
          <w:jc w:val="center"/>
        </w:trPr>
        <w:tc>
          <w:tcPr>
            <w:tcW w:w="3951" w:type="dxa"/>
            <w:tcBorders>
              <w:top w:val="single" w:sz="8" w:space="0" w:color="auto"/>
              <w:left w:val="single" w:sz="12" w:space="0" w:color="auto"/>
              <w:bottom w:val="single" w:sz="8" w:space="0" w:color="auto"/>
              <w:right w:val="single" w:sz="8" w:space="0" w:color="auto"/>
            </w:tcBorders>
          </w:tcPr>
          <w:p w:rsidR="00D046AC" w:rsidRPr="001C495D" w:rsidRDefault="00D046AC" w:rsidP="00FB230B">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五、就涉及人民權利或義務之主管業務建立適當之檢核、審查、追蹤、管制或考核等管理機制，並除依法公開外，另依風險評估結果，推動其行政作業流程透明措施，以利外部監督及型</w:t>
            </w:r>
            <w:r w:rsidRPr="001C495D">
              <w:rPr>
                <w:rFonts w:eastAsia="標楷體" w:hAnsi="標楷體"/>
                <w:sz w:val="28"/>
                <w:szCs w:val="28"/>
              </w:rPr>
              <w:t>塑廉能政府</w:t>
            </w:r>
            <w:r w:rsidRPr="001C495D">
              <w:rPr>
                <w:rFonts w:ascii="標楷體" w:eastAsia="標楷體" w:hAnsi="標楷體" w:hint="eastAsia"/>
                <w:sz w:val="26"/>
                <w:szCs w:val="26"/>
              </w:rPr>
              <w:t>。</w:t>
            </w:r>
          </w:p>
        </w:tc>
        <w:tc>
          <w:tcPr>
            <w:tcW w:w="61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rPr>
            </w:pPr>
          </w:p>
        </w:tc>
      </w:tr>
      <w:tr w:rsidR="00D046AC" w:rsidRPr="001C495D" w:rsidTr="00FB230B">
        <w:trPr>
          <w:trHeight w:val="1024"/>
          <w:jc w:val="center"/>
        </w:trPr>
        <w:tc>
          <w:tcPr>
            <w:tcW w:w="3951" w:type="dxa"/>
            <w:tcBorders>
              <w:top w:val="single" w:sz="8" w:space="0" w:color="auto"/>
              <w:left w:val="single" w:sz="12" w:space="0" w:color="auto"/>
              <w:bottom w:val="single" w:sz="8" w:space="0" w:color="auto"/>
              <w:right w:val="single" w:sz="8" w:space="0" w:color="auto"/>
            </w:tcBorders>
          </w:tcPr>
          <w:p w:rsidR="00D046AC" w:rsidRPr="001C495D" w:rsidRDefault="00D046AC" w:rsidP="00FB230B">
            <w:pPr>
              <w:widowControl/>
              <w:snapToGrid w:val="0"/>
              <w:spacing w:line="360" w:lineRule="atLeast"/>
              <w:ind w:left="468" w:hangingChars="180" w:hanging="468"/>
              <w:jc w:val="both"/>
              <w:rPr>
                <w:rFonts w:ascii="標楷體" w:eastAsia="標楷體" w:hAnsi="標楷體"/>
                <w:sz w:val="26"/>
                <w:szCs w:val="26"/>
              </w:rPr>
            </w:pPr>
            <w:r w:rsidRPr="001C495D">
              <w:rPr>
                <w:rFonts w:ascii="標楷體" w:eastAsia="標楷體" w:hAnsi="標楷體" w:hint="eastAsia"/>
                <w:sz w:val="26"/>
                <w:szCs w:val="26"/>
              </w:rPr>
              <w:t>六、就主管業務對相關機關或單位善盡監理、督導或輔導等責任。</w:t>
            </w:r>
          </w:p>
        </w:tc>
        <w:tc>
          <w:tcPr>
            <w:tcW w:w="61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630"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snapToGrid w:val="0"/>
              <w:spacing w:line="400" w:lineRule="atLeast"/>
              <w:rPr>
                <w:rFonts w:ascii="標楷體" w:eastAsia="標楷體" w:hAnsi="標楷體"/>
                <w:bCs/>
                <w:kern w:val="0"/>
                <w:sz w:val="26"/>
                <w:szCs w:val="26"/>
              </w:rPr>
            </w:pPr>
          </w:p>
        </w:tc>
        <w:tc>
          <w:tcPr>
            <w:tcW w:w="629"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76"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9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1714" w:type="dxa"/>
            <w:tcBorders>
              <w:top w:val="single" w:sz="8" w:space="0" w:color="auto"/>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979" w:type="dxa"/>
            <w:tcBorders>
              <w:top w:val="single" w:sz="8" w:space="0" w:color="auto"/>
              <w:left w:val="single" w:sz="8" w:space="0" w:color="auto"/>
              <w:bottom w:val="single" w:sz="8" w:space="0" w:color="auto"/>
              <w:right w:val="single" w:sz="12"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rPr>
            </w:pPr>
          </w:p>
        </w:tc>
      </w:tr>
      <w:tr w:rsidR="00D046AC" w:rsidRPr="001C495D" w:rsidTr="00FB230B">
        <w:trPr>
          <w:trHeight w:val="1773"/>
          <w:jc w:val="center"/>
        </w:trPr>
        <w:tc>
          <w:tcPr>
            <w:tcW w:w="3951" w:type="dxa"/>
            <w:tcBorders>
              <w:left w:val="single" w:sz="12" w:space="0" w:color="auto"/>
              <w:bottom w:val="single" w:sz="8" w:space="0" w:color="auto"/>
              <w:right w:val="single" w:sz="8" w:space="0" w:color="auto"/>
            </w:tcBorders>
          </w:tcPr>
          <w:p w:rsidR="00D046AC" w:rsidRPr="001C495D" w:rsidRDefault="00D046AC" w:rsidP="00FB230B">
            <w:pPr>
              <w:widowControl/>
              <w:snapToGrid w:val="0"/>
              <w:spacing w:line="360" w:lineRule="atLeast"/>
              <w:ind w:left="480" w:hangingChars="200" w:hanging="480"/>
              <w:jc w:val="both"/>
              <w:rPr>
                <w:rFonts w:ascii="標楷體" w:eastAsia="標楷體" w:hAnsi="標楷體"/>
              </w:rPr>
            </w:pPr>
            <w:r w:rsidRPr="001C495D">
              <w:rPr>
                <w:rFonts w:ascii="標楷體" w:eastAsia="標楷體" w:hAnsi="標楷體" w:hint="eastAsia"/>
              </w:rPr>
              <w:t>七、</w:t>
            </w:r>
            <w:r w:rsidRPr="001C495D">
              <w:rPr>
                <w:rFonts w:ascii="標楷體" w:eastAsia="標楷體" w:hAnsi="標楷體" w:hint="eastAsia"/>
                <w:sz w:val="26"/>
                <w:szCs w:val="26"/>
              </w:rPr>
              <w:t>針對內部高風險業務設有明確職能分工及職務輪調等機制。</w:t>
            </w:r>
          </w:p>
          <w:p w:rsidR="00D046AC" w:rsidRPr="001C495D" w:rsidRDefault="00D046AC" w:rsidP="00FB230B">
            <w:pPr>
              <w:widowControl/>
              <w:snapToGrid w:val="0"/>
              <w:spacing w:line="360" w:lineRule="atLeast"/>
              <w:ind w:leftChars="211" w:left="506"/>
              <w:jc w:val="both"/>
              <w:rPr>
                <w:rFonts w:ascii="標楷體" w:eastAsia="標楷體" w:hAnsi="標楷體"/>
              </w:rPr>
            </w:pPr>
            <w:r w:rsidRPr="001C495D">
              <w:rPr>
                <w:rFonts w:ascii="標楷體" w:eastAsia="標楷體" w:hAnsi="標楷體" w:hint="eastAsia"/>
                <w:b/>
              </w:rPr>
              <w:t>(由機關自行指定之單位負責評估，其餘單位免列示本項)</w:t>
            </w:r>
          </w:p>
        </w:tc>
        <w:tc>
          <w:tcPr>
            <w:tcW w:w="616" w:type="dxa"/>
            <w:tcBorders>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630" w:type="dxa"/>
            <w:tcBorders>
              <w:left w:val="single" w:sz="8" w:space="0" w:color="auto"/>
              <w:bottom w:val="single" w:sz="8" w:space="0" w:color="auto"/>
              <w:right w:val="single" w:sz="8" w:space="0" w:color="auto"/>
            </w:tcBorders>
            <w:vAlign w:val="center"/>
          </w:tcPr>
          <w:p w:rsidR="00D046AC" w:rsidRPr="001C495D" w:rsidRDefault="00D046AC" w:rsidP="00FB230B">
            <w:pPr>
              <w:snapToGrid w:val="0"/>
              <w:spacing w:line="400" w:lineRule="atLeast"/>
              <w:rPr>
                <w:rFonts w:ascii="標楷體" w:eastAsia="標楷體" w:hAnsi="標楷體"/>
                <w:bCs/>
                <w:kern w:val="0"/>
                <w:sz w:val="26"/>
                <w:szCs w:val="26"/>
              </w:rPr>
            </w:pPr>
          </w:p>
        </w:tc>
        <w:tc>
          <w:tcPr>
            <w:tcW w:w="629" w:type="dxa"/>
            <w:tcBorders>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94" w:type="dxa"/>
            <w:tcBorders>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1714" w:type="dxa"/>
            <w:tcBorders>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979" w:type="dxa"/>
            <w:tcBorders>
              <w:left w:val="single" w:sz="8" w:space="0" w:color="auto"/>
              <w:bottom w:val="single" w:sz="8" w:space="0" w:color="auto"/>
              <w:right w:val="single" w:sz="12"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rPr>
            </w:pPr>
          </w:p>
        </w:tc>
      </w:tr>
      <w:tr w:rsidR="00D046AC" w:rsidRPr="001C495D" w:rsidTr="00FB230B">
        <w:trPr>
          <w:cantSplit/>
          <w:trHeight w:val="1022"/>
          <w:jc w:val="center"/>
        </w:trPr>
        <w:tc>
          <w:tcPr>
            <w:tcW w:w="3951" w:type="dxa"/>
            <w:tcBorders>
              <w:left w:val="single" w:sz="12" w:space="0" w:color="auto"/>
              <w:right w:val="single" w:sz="8" w:space="0" w:color="auto"/>
            </w:tcBorders>
          </w:tcPr>
          <w:p w:rsidR="00D046AC" w:rsidRPr="001C495D" w:rsidRDefault="00D046AC" w:rsidP="00FB230B">
            <w:pPr>
              <w:widowControl/>
              <w:snapToGrid w:val="0"/>
              <w:spacing w:line="360" w:lineRule="atLeast"/>
              <w:ind w:left="520" w:hangingChars="200" w:hanging="520"/>
              <w:jc w:val="both"/>
              <w:rPr>
                <w:rFonts w:ascii="標楷體" w:eastAsia="標楷體" w:hAnsi="標楷體"/>
                <w:sz w:val="26"/>
                <w:szCs w:val="26"/>
              </w:rPr>
            </w:pPr>
            <w:r w:rsidRPr="001C495D">
              <w:rPr>
                <w:rFonts w:ascii="標楷體" w:eastAsia="標楷體" w:hAnsi="標楷體" w:hint="eastAsia"/>
                <w:sz w:val="26"/>
                <w:szCs w:val="26"/>
              </w:rPr>
              <w:lastRenderedPageBreak/>
              <w:t>八、稽核評估職能單位及負責內部控制或內部稽核業務幕僚單位依相關法令規定落實辦理下列工作</w:t>
            </w:r>
            <w:r w:rsidRPr="001C495D">
              <w:rPr>
                <w:rFonts w:eastAsia="標楷體" w:hint="eastAsia"/>
                <w:sz w:val="16"/>
                <w:szCs w:val="16"/>
              </w:rPr>
              <w:t>(</w:t>
            </w:r>
            <w:r w:rsidRPr="001C495D">
              <w:rPr>
                <w:rFonts w:eastAsia="標楷體" w:hint="eastAsia"/>
                <w:sz w:val="16"/>
                <w:szCs w:val="16"/>
              </w:rPr>
              <w:t>註</w:t>
            </w:r>
            <w:r w:rsidRPr="001C495D">
              <w:rPr>
                <w:rFonts w:eastAsia="標楷體" w:hint="eastAsia"/>
                <w:sz w:val="16"/>
                <w:szCs w:val="16"/>
              </w:rPr>
              <w:t>3)</w:t>
            </w:r>
            <w:r w:rsidRPr="001C495D">
              <w:rPr>
                <w:rFonts w:ascii="標楷體" w:eastAsia="標楷體" w:hAnsi="標楷體" w:hint="eastAsia"/>
              </w:rPr>
              <w:t>：</w:t>
            </w:r>
          </w:p>
          <w:p w:rsidR="00D046AC" w:rsidRPr="001C495D" w:rsidRDefault="00D046AC" w:rsidP="00FB230B">
            <w:pPr>
              <w:widowControl/>
              <w:numPr>
                <w:ilvl w:val="0"/>
                <w:numId w:val="2"/>
              </w:numPr>
              <w:tabs>
                <w:tab w:val="clear" w:pos="1248"/>
              </w:tabs>
              <w:snapToGrid w:val="0"/>
              <w:spacing w:line="360" w:lineRule="atLeast"/>
              <w:ind w:left="1114" w:hanging="540"/>
              <w:jc w:val="both"/>
              <w:rPr>
                <w:rFonts w:ascii="標楷體" w:eastAsia="標楷體" w:hAnsi="標楷體"/>
                <w:sz w:val="26"/>
                <w:szCs w:val="26"/>
              </w:rPr>
            </w:pPr>
            <w:r w:rsidRPr="001C495D">
              <w:rPr>
                <w:rFonts w:ascii="標楷體" w:eastAsia="標楷體" w:hAnsi="標楷體" w:hint="eastAsia"/>
                <w:sz w:val="26"/>
                <w:szCs w:val="26"/>
              </w:rPr>
              <w:t>施政績效管考。</w:t>
            </w:r>
          </w:p>
          <w:p w:rsidR="00D046AC" w:rsidRPr="001C495D" w:rsidRDefault="00D046AC" w:rsidP="00FB230B">
            <w:pPr>
              <w:widowControl/>
              <w:numPr>
                <w:ilvl w:val="0"/>
                <w:numId w:val="2"/>
              </w:numPr>
              <w:tabs>
                <w:tab w:val="clear" w:pos="1248"/>
                <w:tab w:val="num" w:pos="1114"/>
              </w:tabs>
              <w:snapToGrid w:val="0"/>
              <w:spacing w:line="360" w:lineRule="atLeast"/>
              <w:ind w:hanging="674"/>
              <w:jc w:val="both"/>
              <w:rPr>
                <w:rFonts w:ascii="標楷體" w:eastAsia="標楷體" w:hAnsi="標楷體"/>
              </w:rPr>
            </w:pPr>
            <w:r w:rsidRPr="001C495D">
              <w:rPr>
                <w:rFonts w:ascii="標楷體" w:eastAsia="標楷體" w:hAnsi="標楷體"/>
                <w:sz w:val="26"/>
                <w:szCs w:val="26"/>
              </w:rPr>
              <w:t>…</w:t>
            </w:r>
          </w:p>
          <w:p w:rsidR="00D046AC" w:rsidRPr="001C495D" w:rsidRDefault="00D046AC" w:rsidP="00FB230B">
            <w:pPr>
              <w:widowControl/>
              <w:numPr>
                <w:ilvl w:val="0"/>
                <w:numId w:val="2"/>
              </w:numPr>
              <w:tabs>
                <w:tab w:val="clear" w:pos="1248"/>
              </w:tabs>
              <w:snapToGrid w:val="0"/>
              <w:spacing w:line="360" w:lineRule="atLeast"/>
              <w:ind w:left="1114" w:hanging="540"/>
              <w:jc w:val="both"/>
              <w:rPr>
                <w:rFonts w:ascii="標楷體" w:eastAsia="標楷體" w:hAnsi="標楷體"/>
              </w:rPr>
            </w:pPr>
            <w:r w:rsidRPr="001C495D">
              <w:rPr>
                <w:rFonts w:ascii="標楷體" w:eastAsia="標楷體" w:hAnsi="標楷體" w:hint="eastAsia"/>
                <w:sz w:val="26"/>
                <w:szCs w:val="26"/>
              </w:rPr>
              <w:t>定期檢討內部控制</w:t>
            </w:r>
            <w:r w:rsidRPr="001C495D">
              <w:rPr>
                <w:rFonts w:ascii="標楷體" w:eastAsia="標楷體" w:hAnsi="標楷體" w:hint="eastAsia"/>
              </w:rPr>
              <w:t>機制</w:t>
            </w:r>
            <w:r w:rsidRPr="001C495D">
              <w:rPr>
                <w:rFonts w:ascii="標楷體" w:eastAsia="標楷體" w:hAnsi="標楷體" w:hint="eastAsia"/>
                <w:sz w:val="26"/>
                <w:szCs w:val="26"/>
              </w:rPr>
              <w:t>。</w:t>
            </w:r>
          </w:p>
          <w:p w:rsidR="00D046AC" w:rsidRPr="001C495D" w:rsidRDefault="00D046AC" w:rsidP="00FB230B">
            <w:pPr>
              <w:widowControl/>
              <w:snapToGrid w:val="0"/>
              <w:spacing w:line="360" w:lineRule="atLeast"/>
              <w:ind w:leftChars="211" w:left="506"/>
              <w:jc w:val="both"/>
              <w:rPr>
                <w:rFonts w:ascii="標楷體" w:eastAsia="標楷體" w:hAnsi="標楷體"/>
                <w:b/>
              </w:rPr>
            </w:pPr>
            <w:r w:rsidRPr="001C495D">
              <w:rPr>
                <w:rFonts w:ascii="標楷體" w:eastAsia="標楷體" w:hAnsi="標楷體" w:hint="eastAsia"/>
                <w:b/>
              </w:rPr>
              <w:t>(非稽核評估職能單位、內部控制或內部稽核業務幕僚單位免列示本項)</w:t>
            </w:r>
          </w:p>
        </w:tc>
        <w:tc>
          <w:tcPr>
            <w:tcW w:w="616" w:type="dxa"/>
            <w:tcBorders>
              <w:left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630" w:type="dxa"/>
            <w:tcBorders>
              <w:left w:val="single" w:sz="8" w:space="0" w:color="auto"/>
              <w:right w:val="single" w:sz="8" w:space="0" w:color="auto"/>
            </w:tcBorders>
            <w:vAlign w:val="center"/>
          </w:tcPr>
          <w:p w:rsidR="00D046AC" w:rsidRPr="001C495D" w:rsidRDefault="00D046AC" w:rsidP="00FB230B">
            <w:pPr>
              <w:snapToGrid w:val="0"/>
              <w:spacing w:line="400" w:lineRule="atLeast"/>
              <w:rPr>
                <w:rFonts w:ascii="標楷體" w:eastAsia="標楷體" w:hAnsi="標楷體"/>
                <w:bCs/>
                <w:kern w:val="0"/>
                <w:sz w:val="26"/>
                <w:szCs w:val="26"/>
              </w:rPr>
            </w:pPr>
          </w:p>
        </w:tc>
        <w:tc>
          <w:tcPr>
            <w:tcW w:w="629" w:type="dxa"/>
            <w:tcBorders>
              <w:left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76" w:type="dxa"/>
            <w:tcBorders>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594" w:type="dxa"/>
            <w:tcBorders>
              <w:left w:val="single" w:sz="8" w:space="0" w:color="auto"/>
              <w:bottom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1714" w:type="dxa"/>
            <w:tcBorders>
              <w:left w:val="single" w:sz="8" w:space="0" w:color="auto"/>
              <w:right w:val="single" w:sz="8"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sz w:val="20"/>
                <w:szCs w:val="20"/>
              </w:rPr>
            </w:pPr>
          </w:p>
        </w:tc>
        <w:tc>
          <w:tcPr>
            <w:tcW w:w="979" w:type="dxa"/>
            <w:tcBorders>
              <w:left w:val="single" w:sz="8" w:space="0" w:color="auto"/>
              <w:right w:val="single" w:sz="12" w:space="0" w:color="auto"/>
            </w:tcBorders>
            <w:vAlign w:val="center"/>
          </w:tcPr>
          <w:p w:rsidR="00D046AC" w:rsidRPr="001C495D" w:rsidRDefault="00D046AC" w:rsidP="00FB230B">
            <w:pPr>
              <w:widowControl/>
              <w:snapToGrid w:val="0"/>
              <w:spacing w:line="400" w:lineRule="atLeast"/>
              <w:rPr>
                <w:rFonts w:ascii="標楷體" w:eastAsia="標楷體" w:hAnsi="標楷體"/>
                <w:bCs/>
                <w:kern w:val="0"/>
              </w:rPr>
            </w:pPr>
          </w:p>
        </w:tc>
      </w:tr>
      <w:tr w:rsidR="00D046AC" w:rsidRPr="001C495D" w:rsidTr="00FB230B">
        <w:trPr>
          <w:trHeight w:val="626"/>
          <w:jc w:val="center"/>
        </w:trPr>
        <w:tc>
          <w:tcPr>
            <w:tcW w:w="9689" w:type="dxa"/>
            <w:gridSpan w:val="8"/>
            <w:tcBorders>
              <w:top w:val="single" w:sz="12" w:space="0" w:color="auto"/>
              <w:left w:val="single" w:sz="12" w:space="0" w:color="auto"/>
              <w:bottom w:val="single" w:sz="12" w:space="0" w:color="auto"/>
              <w:right w:val="single" w:sz="12" w:space="0" w:color="auto"/>
            </w:tcBorders>
            <w:vAlign w:val="center"/>
          </w:tcPr>
          <w:p w:rsidR="00D046AC" w:rsidRPr="001C495D" w:rsidRDefault="00D046AC" w:rsidP="00FB230B">
            <w:pPr>
              <w:widowControl/>
              <w:snapToGrid w:val="0"/>
              <w:spacing w:line="400" w:lineRule="atLeast"/>
              <w:jc w:val="both"/>
              <w:rPr>
                <w:rFonts w:ascii="標楷體" w:eastAsia="標楷體" w:hAnsi="標楷體"/>
                <w:bCs/>
                <w:kern w:val="0"/>
              </w:rPr>
            </w:pPr>
            <w:r w:rsidRPr="001C495D">
              <w:rPr>
                <w:rFonts w:ascii="標楷體" w:eastAsia="標楷體" w:hAnsi="標楷體" w:hint="eastAsia"/>
                <w:sz w:val="26"/>
                <w:szCs w:val="26"/>
              </w:rPr>
              <w:t>填表人：</w:t>
            </w:r>
            <w:r w:rsidRPr="001C495D">
              <w:rPr>
                <w:rFonts w:ascii="標楷體" w:eastAsia="標楷體" w:hAnsi="標楷體"/>
                <w:sz w:val="26"/>
                <w:szCs w:val="26"/>
              </w:rPr>
              <w:t xml:space="preserve">               </w:t>
            </w:r>
            <w:r w:rsidRPr="001C495D">
              <w:rPr>
                <w:rFonts w:ascii="標楷體" w:eastAsia="標楷體" w:hAnsi="標楷體" w:hint="eastAsia"/>
                <w:sz w:val="26"/>
                <w:szCs w:val="26"/>
              </w:rPr>
              <w:t>複核：</w:t>
            </w:r>
            <w:r w:rsidRPr="001C495D">
              <w:rPr>
                <w:rFonts w:ascii="標楷體" w:eastAsia="標楷體" w:hAnsi="標楷體"/>
                <w:sz w:val="26"/>
                <w:szCs w:val="26"/>
              </w:rPr>
              <w:t xml:space="preserve">                  </w:t>
            </w:r>
            <w:r w:rsidRPr="001C495D">
              <w:rPr>
                <w:rFonts w:ascii="標楷體" w:eastAsia="標楷體" w:hAnsi="標楷體" w:hint="eastAsia"/>
                <w:sz w:val="26"/>
                <w:szCs w:val="26"/>
              </w:rPr>
              <w:t>單位主管：</w:t>
            </w:r>
          </w:p>
        </w:tc>
      </w:tr>
    </w:tbl>
    <w:p w:rsidR="00D046AC" w:rsidRPr="001C495D" w:rsidRDefault="00D046AC" w:rsidP="00D046AC">
      <w:pPr>
        <w:adjustRightInd w:val="0"/>
        <w:snapToGrid w:val="0"/>
        <w:spacing w:line="240" w:lineRule="atLeast"/>
        <w:ind w:leftChars="-122" w:left="660" w:hangingChars="397" w:hanging="953"/>
        <w:rPr>
          <w:rFonts w:ascii="標楷體" w:eastAsia="標楷體" w:hAnsi="標楷體"/>
        </w:rPr>
      </w:pPr>
    </w:p>
    <w:p w:rsidR="00D046AC" w:rsidRPr="001C495D" w:rsidRDefault="00D046AC" w:rsidP="00D046AC">
      <w:pPr>
        <w:adjustRightInd w:val="0"/>
        <w:snapToGrid w:val="0"/>
        <w:spacing w:line="240" w:lineRule="atLeast"/>
        <w:ind w:leftChars="-122" w:left="660" w:hangingChars="397" w:hanging="953"/>
        <w:rPr>
          <w:rFonts w:ascii="標楷體" w:eastAsia="標楷體" w:hAnsi="標楷體"/>
        </w:rPr>
      </w:pPr>
      <w:r w:rsidRPr="001C495D">
        <w:rPr>
          <w:rFonts w:ascii="標楷體" w:eastAsia="標楷體" w:hAnsi="標楷體" w:hint="eastAsia"/>
        </w:rPr>
        <w:t>註：</w:t>
      </w:r>
    </w:p>
    <w:p w:rsidR="00D046AC" w:rsidRPr="001C495D" w:rsidRDefault="00D046AC" w:rsidP="00D046AC">
      <w:pPr>
        <w:numPr>
          <w:ilvl w:val="0"/>
          <w:numId w:val="1"/>
        </w:numPr>
        <w:tabs>
          <w:tab w:val="clear" w:pos="360"/>
        </w:tabs>
        <w:adjustRightInd w:val="0"/>
        <w:snapToGrid w:val="0"/>
        <w:spacing w:line="240" w:lineRule="atLeast"/>
        <w:ind w:leftChars="-122" w:left="-39" w:rightChars="-25" w:right="-60" w:hanging="254"/>
        <w:jc w:val="both"/>
        <w:rPr>
          <w:rFonts w:ascii="標楷體" w:eastAsia="標楷體" w:hAnsi="標楷體"/>
        </w:rPr>
      </w:pPr>
      <w:r w:rsidRPr="001C495D">
        <w:rPr>
          <w:rFonts w:ascii="標楷體" w:eastAsia="標楷體" w:hAnsi="標楷體" w:hint="eastAsia"/>
        </w:rPr>
        <w:t>各單位除上列必要評估重點外，另得視業務性質及外部意見等調整增列評估重點項目，並依評估結果於評估情形欄勾選「落實」、「部分落實」、「未落實」、「未發生」或「不適用」；其中「未發生」係指有評估重點所規範之業務，但評估期間未發生，致無法評估者；「不適用」</w:t>
      </w:r>
      <w:r w:rsidRPr="001C495D">
        <w:rPr>
          <w:rFonts w:ascii="標楷體" w:eastAsia="標楷體" w:hAnsi="標楷體" w:hint="eastAsia"/>
          <w:color w:val="000000"/>
        </w:rPr>
        <w:t>係指評估期間法令規定或作法已修正，但評估重點未及配合修正者，或</w:t>
      </w:r>
      <w:r w:rsidRPr="001C495D">
        <w:rPr>
          <w:rFonts w:ascii="標楷體" w:eastAsia="標楷體" w:hAnsi="標楷體" w:hint="eastAsia"/>
        </w:rPr>
        <w:t>無評估重點所規範之業務等。</w:t>
      </w:r>
    </w:p>
    <w:p w:rsidR="00D046AC" w:rsidRPr="001C495D" w:rsidRDefault="00D046AC" w:rsidP="00D046AC">
      <w:pPr>
        <w:numPr>
          <w:ilvl w:val="0"/>
          <w:numId w:val="1"/>
        </w:numPr>
        <w:tabs>
          <w:tab w:val="clear" w:pos="360"/>
        </w:tabs>
        <w:adjustRightInd w:val="0"/>
        <w:snapToGrid w:val="0"/>
        <w:spacing w:line="240" w:lineRule="atLeast"/>
        <w:ind w:leftChars="-122" w:left="-39" w:rightChars="-25" w:right="-60" w:hanging="254"/>
        <w:jc w:val="both"/>
        <w:rPr>
          <w:rFonts w:ascii="標楷體" w:eastAsia="標楷體" w:hAnsi="標楷體"/>
          <w:strike/>
        </w:rPr>
      </w:pPr>
      <w:r w:rsidRPr="001C495D">
        <w:rPr>
          <w:rFonts w:ascii="標楷體" w:eastAsia="標楷體" w:hAnsi="標楷體" w:hint="eastAsia"/>
        </w:rPr>
        <w:t>「評估期間」係指本項作業自行評估所涵蓋之期間；「評估日期」指執行該項評估之日期。</w:t>
      </w:r>
    </w:p>
    <w:p w:rsidR="00D046AC" w:rsidRPr="001C495D" w:rsidRDefault="00D046AC" w:rsidP="00D046AC">
      <w:pPr>
        <w:numPr>
          <w:ilvl w:val="0"/>
          <w:numId w:val="1"/>
        </w:numPr>
        <w:tabs>
          <w:tab w:val="clear" w:pos="360"/>
        </w:tabs>
        <w:adjustRightInd w:val="0"/>
        <w:snapToGrid w:val="0"/>
        <w:spacing w:line="240" w:lineRule="atLeast"/>
        <w:ind w:leftChars="-122" w:left="-39" w:rightChars="-25" w:right="-60" w:hanging="254"/>
        <w:jc w:val="both"/>
        <w:rPr>
          <w:rFonts w:ascii="標楷體" w:eastAsia="標楷體" w:hAnsi="標楷體"/>
          <w:strike/>
        </w:rPr>
      </w:pPr>
      <w:r w:rsidRPr="001C495D">
        <w:rPr>
          <w:rFonts w:ascii="標楷體" w:eastAsia="標楷體" w:hAnsi="標楷體" w:hint="eastAsia"/>
        </w:rPr>
        <w:t>該評估重點係由稽核評估職能單位及負責內部控制或內部稽核業務幕僚單位自行填寫依其相關法令規定應辦理之工作，如施政績效管考、資訊安全稽核、政風查核(含廉政風險評估)、政府採購稽核、工程施工查核、國家關鍵基礎設施安全防護、人事考核(含考核工作績效及獎懲)、內部審核、事務管理工作檢核及定期檢討內部控制機制等工作。</w:t>
      </w:r>
    </w:p>
    <w:p w:rsidR="00D046AC" w:rsidRPr="001C495D" w:rsidRDefault="00D046AC" w:rsidP="00D046AC">
      <w:pPr>
        <w:numPr>
          <w:ilvl w:val="0"/>
          <w:numId w:val="1"/>
        </w:numPr>
        <w:tabs>
          <w:tab w:val="clear" w:pos="360"/>
        </w:tabs>
        <w:adjustRightInd w:val="0"/>
        <w:snapToGrid w:val="0"/>
        <w:spacing w:line="240" w:lineRule="atLeast"/>
        <w:ind w:leftChars="-122" w:left="-39" w:rightChars="-25" w:right="-60" w:hanging="254"/>
        <w:jc w:val="both"/>
        <w:rPr>
          <w:rFonts w:ascii="標楷體" w:eastAsia="標楷體" w:hAnsi="標楷體"/>
        </w:rPr>
      </w:pPr>
      <w:r w:rsidRPr="001C495D">
        <w:rPr>
          <w:rFonts w:ascii="標楷體" w:eastAsia="標楷體" w:hAnsi="標楷體" w:hint="eastAsia"/>
        </w:rPr>
        <w:t>本表及其佐證資料等，應自辦理自行評估工作結束日起，以書面文件或電子化型式至少保存五年。</w:t>
      </w:r>
    </w:p>
    <w:p w:rsidR="00D046AC" w:rsidRPr="00314352" w:rsidRDefault="00D046AC" w:rsidP="00D046AC">
      <w:pPr>
        <w:snapToGrid w:val="0"/>
        <w:spacing w:line="280" w:lineRule="exact"/>
        <w:jc w:val="both"/>
        <w:rPr>
          <w:rFonts w:ascii="標楷體" w:eastAsia="標楷體" w:hAnsi="標楷體"/>
        </w:rPr>
      </w:pPr>
    </w:p>
    <w:p w:rsidR="00D046AC" w:rsidRPr="003B4B3C" w:rsidRDefault="00D046AC" w:rsidP="00D046AC">
      <w:pPr>
        <w:tabs>
          <w:tab w:val="left" w:pos="476"/>
        </w:tabs>
        <w:autoSpaceDE w:val="0"/>
        <w:autoSpaceDN w:val="0"/>
        <w:adjustRightInd w:val="0"/>
        <w:spacing w:line="440" w:lineRule="exact"/>
        <w:ind w:leftChars="-6" w:left="532" w:hangingChars="195" w:hanging="546"/>
        <w:rPr>
          <w:rFonts w:ascii="標楷體" w:eastAsia="標楷體" w:hAnsi="標楷體" w:cs="DFKaiShu-SB-Estd-BF"/>
          <w:kern w:val="0"/>
          <w:sz w:val="28"/>
          <w:szCs w:val="28"/>
        </w:rPr>
      </w:pPr>
    </w:p>
    <w:p w:rsidR="000969F9" w:rsidRPr="00D046AC" w:rsidRDefault="000969F9"/>
    <w:sectPr w:rsidR="000969F9" w:rsidRPr="00D046AC" w:rsidSect="00B6412C">
      <w:pgSz w:w="11906" w:h="16838"/>
      <w:pgMar w:top="1418"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5201D"/>
    <w:multiLevelType w:val="hybridMultilevel"/>
    <w:tmpl w:val="122EBFC2"/>
    <w:lvl w:ilvl="0" w:tplc="3FC27C7C">
      <w:start w:val="1"/>
      <w:numFmt w:val="decimal"/>
      <w:lvlText w:val="%1."/>
      <w:lvlJc w:val="left"/>
      <w:pPr>
        <w:tabs>
          <w:tab w:val="num" w:pos="360"/>
        </w:tabs>
        <w:ind w:left="360" w:hanging="360"/>
      </w:pPr>
      <w:rPr>
        <w:rFonts w:cs="Times New Roman" w:hint="default"/>
        <w:strike w:val="0"/>
        <w:dstrike w:val="0"/>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42B68BB"/>
    <w:multiLevelType w:val="hybridMultilevel"/>
    <w:tmpl w:val="3D0A1DAC"/>
    <w:lvl w:ilvl="0" w:tplc="DD605E70">
      <w:start w:val="1"/>
      <w:numFmt w:val="taiwaneseCountingThousand"/>
      <w:lvlText w:val="(%1)"/>
      <w:lvlJc w:val="left"/>
      <w:pPr>
        <w:tabs>
          <w:tab w:val="num" w:pos="1248"/>
        </w:tabs>
        <w:ind w:left="1248" w:hanging="528"/>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AC"/>
    <w:rsid w:val="000969F9"/>
    <w:rsid w:val="00D04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D31A"/>
  <w15:chartTrackingRefBased/>
  <w15:docId w15:val="{088AD762-3746-4D22-9911-9A220210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D046AC"/>
    <w:pPr>
      <w:widowControl/>
      <w:spacing w:before="100" w:beforeAutospacing="1" w:after="100" w:afterAutospacing="1"/>
    </w:pPr>
    <w:rPr>
      <w:rFonts w:ascii="新細明體" w:eastAsia="新細明體" w:hAnsi="新細明體" w:cs="新細明體"/>
      <w:color w:val="666666"/>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2022-06-08T02:36:00Z</dcterms:created>
  <dcterms:modified xsi:type="dcterms:W3CDTF">2022-06-08T02:37:00Z</dcterms:modified>
</cp:coreProperties>
</file>